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9C0B" w14:textId="77777777" w:rsidR="00556BF9" w:rsidRPr="0045758F" w:rsidRDefault="00026BA7">
      <w:pPr>
        <w:rPr>
          <w:rFonts w:ascii="Arial" w:hAnsi="Arial" w:cs="Arial"/>
          <w:b/>
          <w:sz w:val="28"/>
        </w:rPr>
      </w:pPr>
      <w:r w:rsidRPr="0045758F">
        <w:rPr>
          <w:rFonts w:ascii="Arial" w:hAnsi="Arial" w:cs="Arial"/>
          <w:b/>
          <w:sz w:val="28"/>
        </w:rPr>
        <w:t>Corporate Plan 2016-20 - Annual update 2019-20</w:t>
      </w:r>
    </w:p>
    <w:p w14:paraId="120D3966" w14:textId="77777777" w:rsidR="00A64A76" w:rsidRDefault="0045758F" w:rsidP="00026BA7">
      <w:pPr>
        <w:rPr>
          <w:rFonts w:ascii="Arial" w:hAnsi="Arial" w:cs="Arial"/>
          <w:sz w:val="24"/>
          <w:szCs w:val="24"/>
        </w:rPr>
      </w:pPr>
      <w:r w:rsidRPr="0045758F">
        <w:rPr>
          <w:rFonts w:ascii="Arial" w:hAnsi="Arial" w:cs="Arial"/>
          <w:sz w:val="24"/>
          <w:szCs w:val="24"/>
        </w:rPr>
        <w:t>This document provides an update on what was delivered against each of the areas of focus for 2019-20 identified in the previous Corporate Plan Annual Update 2018-19.</w:t>
      </w:r>
      <w:r w:rsidR="00A64A76">
        <w:rPr>
          <w:rFonts w:ascii="Arial" w:hAnsi="Arial" w:cs="Arial"/>
          <w:sz w:val="24"/>
          <w:szCs w:val="24"/>
        </w:rPr>
        <w:t xml:space="preserve"> It also includes projected outturn against the success measures set for 2019-20.</w:t>
      </w:r>
    </w:p>
    <w:p w14:paraId="205FCB02" w14:textId="77777777" w:rsidR="00A64A76" w:rsidRPr="0045758F" w:rsidRDefault="00A64A76" w:rsidP="00026BA7">
      <w:pPr>
        <w:rPr>
          <w:rFonts w:ascii="Arial" w:hAnsi="Arial" w:cs="Arial"/>
          <w:sz w:val="24"/>
          <w:szCs w:val="24"/>
        </w:rPr>
      </w:pPr>
    </w:p>
    <w:p w14:paraId="15FBD41C" w14:textId="77777777" w:rsidR="00026BA7" w:rsidRPr="00A64A76" w:rsidRDefault="00A64A76" w:rsidP="00026BA7">
      <w:pPr>
        <w:rPr>
          <w:rFonts w:ascii="Arial" w:hAnsi="Arial" w:cs="Arial"/>
          <w:b/>
          <w:sz w:val="24"/>
        </w:rPr>
      </w:pPr>
      <w:r w:rsidRPr="00A64A76">
        <w:rPr>
          <w:rFonts w:ascii="Arial" w:hAnsi="Arial" w:cs="Arial"/>
          <w:b/>
          <w:sz w:val="24"/>
        </w:rPr>
        <w:t xml:space="preserve">CORPORATE PRIORITY: </w:t>
      </w:r>
      <w:r w:rsidR="00026BA7" w:rsidRPr="00A64A76">
        <w:rPr>
          <w:rFonts w:ascii="Arial" w:hAnsi="Arial" w:cs="Arial"/>
          <w:b/>
          <w:sz w:val="24"/>
        </w:rPr>
        <w:t>A Vibrant and Sustainable Economy</w:t>
      </w:r>
    </w:p>
    <w:tbl>
      <w:tblPr>
        <w:tblStyle w:val="TableGrid"/>
        <w:tblW w:w="14992" w:type="dxa"/>
        <w:tblLook w:val="04A0" w:firstRow="1" w:lastRow="0" w:firstColumn="1" w:lastColumn="0" w:noHBand="0" w:noVBand="1"/>
      </w:tblPr>
      <w:tblGrid>
        <w:gridCol w:w="5382"/>
        <w:gridCol w:w="9610"/>
      </w:tblGrid>
      <w:tr w:rsidR="00E25FEC" w14:paraId="11800031" w14:textId="77777777" w:rsidTr="00E25FEC">
        <w:tc>
          <w:tcPr>
            <w:tcW w:w="5382" w:type="dxa"/>
          </w:tcPr>
          <w:p w14:paraId="7904FB7A" w14:textId="77777777" w:rsidR="00E25FEC" w:rsidRPr="00026BA7" w:rsidRDefault="00E25FEC" w:rsidP="00026BA7">
            <w:pPr>
              <w:rPr>
                <w:b/>
              </w:rPr>
            </w:pPr>
            <w:r w:rsidRPr="00026BA7">
              <w:rPr>
                <w:b/>
              </w:rPr>
              <w:t>Areas of Focus 2019–2020</w:t>
            </w:r>
          </w:p>
        </w:tc>
        <w:tc>
          <w:tcPr>
            <w:tcW w:w="9610" w:type="dxa"/>
          </w:tcPr>
          <w:p w14:paraId="4F307832" w14:textId="77777777" w:rsidR="00E25FEC" w:rsidRDefault="00E25FEC">
            <w:pPr>
              <w:rPr>
                <w:b/>
              </w:rPr>
            </w:pPr>
            <w:r>
              <w:rPr>
                <w:b/>
              </w:rPr>
              <w:t>Outcome</w:t>
            </w:r>
          </w:p>
        </w:tc>
      </w:tr>
      <w:tr w:rsidR="00E25FEC" w:rsidRPr="00BA4AA1" w14:paraId="46645F7E" w14:textId="77777777" w:rsidTr="00E25FEC">
        <w:tc>
          <w:tcPr>
            <w:tcW w:w="5382" w:type="dxa"/>
          </w:tcPr>
          <w:p w14:paraId="76940C19" w14:textId="77777777" w:rsidR="00E25FEC" w:rsidRPr="00BA4AA1" w:rsidRDefault="00E25FEC" w:rsidP="00BA4AA1">
            <w:pPr>
              <w:rPr>
                <w:rFonts w:ascii="Arial" w:hAnsi="Arial" w:cs="Arial"/>
                <w:b/>
                <w:color w:val="000000" w:themeColor="text1"/>
                <w:sz w:val="24"/>
                <w:szCs w:val="24"/>
              </w:rPr>
            </w:pPr>
            <w:r w:rsidRPr="00BA4AA1">
              <w:rPr>
                <w:rFonts w:ascii="Arial" w:hAnsi="Arial" w:cs="Arial"/>
                <w:color w:val="000000" w:themeColor="text1"/>
                <w:sz w:val="24"/>
                <w:szCs w:val="24"/>
              </w:rPr>
              <w:t xml:space="preserve">Continue the successful delivery of Oxfordshire Housing and Growth Deal investment to provide affordable homes and transport improvements for residents. </w:t>
            </w:r>
          </w:p>
        </w:tc>
        <w:tc>
          <w:tcPr>
            <w:tcW w:w="9610" w:type="dxa"/>
          </w:tcPr>
          <w:p w14:paraId="28A1130B"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Continued to work with the other Oxfordshire authorities to deliver the different stands of the Deal including affordable housing, infrastructure to support new homes and the new Oxfordshire 2050 Plan. This year we have also strengthened collaborative working across the Oxford to Cambridge Arc with aim of securing a pipeline of future investment to support sustainable and inclusive growth in Oxfordshire.</w:t>
            </w:r>
          </w:p>
        </w:tc>
      </w:tr>
      <w:tr w:rsidR="00E25FEC" w:rsidRPr="00BA4AA1" w14:paraId="2DA5B9E9" w14:textId="77777777" w:rsidTr="00E25FEC">
        <w:tc>
          <w:tcPr>
            <w:tcW w:w="5382" w:type="dxa"/>
          </w:tcPr>
          <w:p w14:paraId="13B03E17"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Continue initiatives with the aim of encouraging further take up of the Oxford Living Wage.</w:t>
            </w:r>
          </w:p>
        </w:tc>
        <w:tc>
          <w:tcPr>
            <w:tcW w:w="9610" w:type="dxa"/>
          </w:tcPr>
          <w:p w14:paraId="6B4ABF9C"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 xml:space="preserve">In one year, we have attracted 27 self-certified Oxford Living Wage employers, most notably the University of Oxford and Oxford Bus Company alongside a range of employers from the science and technology, business, education and charitable sectors. We have agreed new branding for Oxford Living Wage and held three engagement events to promote the OLW to local employers and run a successful in Living Wage Week and throughout the year. </w:t>
            </w:r>
          </w:p>
        </w:tc>
      </w:tr>
      <w:tr w:rsidR="00E25FEC" w:rsidRPr="00BA4AA1" w14:paraId="52F837CA" w14:textId="77777777" w:rsidTr="00E25FEC">
        <w:tc>
          <w:tcPr>
            <w:tcW w:w="5382" w:type="dxa"/>
          </w:tcPr>
          <w:p w14:paraId="49D9EB66"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 xml:space="preserve">Publish a refreshed Oxford Economic Growth Strategy that will set out a range of economic initiatives and interventions to safeguard the continued economic success of the city as well as ensuring this is delivered in an inclusive and sustainable manner. </w:t>
            </w:r>
          </w:p>
        </w:tc>
        <w:tc>
          <w:tcPr>
            <w:tcW w:w="9610" w:type="dxa"/>
          </w:tcPr>
          <w:p w14:paraId="48287408" w14:textId="7372601B" w:rsidR="00E25FEC" w:rsidRPr="00BA4AA1" w:rsidRDefault="00E25FEC" w:rsidP="00BD3C3F">
            <w:pPr>
              <w:rPr>
                <w:rFonts w:ascii="Arial" w:hAnsi="Arial" w:cs="Arial"/>
                <w:color w:val="000000" w:themeColor="text1"/>
                <w:sz w:val="24"/>
                <w:szCs w:val="24"/>
              </w:rPr>
            </w:pPr>
            <w:r w:rsidRPr="00BA4AA1">
              <w:rPr>
                <w:rFonts w:ascii="Arial" w:hAnsi="Arial" w:cs="Arial"/>
                <w:color w:val="000000" w:themeColor="text1"/>
                <w:sz w:val="24"/>
                <w:szCs w:val="24"/>
              </w:rPr>
              <w:t>Initiated a new Oxford Economic Strategy in September 2019, appointing a consultant team led by Hatch Regeneris. We have completed the draft Evidence Base and initial consultation, conducted two of four Economic Growth Steering Board meetings focused on the new strategy</w:t>
            </w:r>
            <w:r w:rsidR="00E05A35">
              <w:rPr>
                <w:rFonts w:ascii="Arial" w:hAnsi="Arial" w:cs="Arial"/>
                <w:color w:val="000000" w:themeColor="text1"/>
                <w:sz w:val="24"/>
                <w:szCs w:val="24"/>
              </w:rPr>
              <w:t xml:space="preserve">. It had been anticipated that a </w:t>
            </w:r>
            <w:r w:rsidRPr="00BA4AA1">
              <w:rPr>
                <w:rFonts w:ascii="Arial" w:hAnsi="Arial" w:cs="Arial"/>
                <w:color w:val="000000" w:themeColor="text1"/>
                <w:sz w:val="24"/>
                <w:szCs w:val="24"/>
              </w:rPr>
              <w:t xml:space="preserve">final version </w:t>
            </w:r>
            <w:r w:rsidR="00E05A35">
              <w:rPr>
                <w:rFonts w:ascii="Arial" w:hAnsi="Arial" w:cs="Arial"/>
                <w:color w:val="000000" w:themeColor="text1"/>
                <w:sz w:val="24"/>
                <w:szCs w:val="24"/>
              </w:rPr>
              <w:t xml:space="preserve">of the strategy would be available </w:t>
            </w:r>
            <w:r w:rsidR="00A046E9" w:rsidRPr="00BA4AA1">
              <w:rPr>
                <w:rFonts w:ascii="Arial" w:hAnsi="Arial" w:cs="Arial"/>
                <w:color w:val="000000" w:themeColor="text1"/>
                <w:sz w:val="24"/>
                <w:szCs w:val="24"/>
              </w:rPr>
              <w:t xml:space="preserve">in </w:t>
            </w:r>
            <w:r w:rsidRPr="00BA4AA1">
              <w:rPr>
                <w:rFonts w:ascii="Arial" w:hAnsi="Arial" w:cs="Arial"/>
                <w:color w:val="000000" w:themeColor="text1"/>
                <w:sz w:val="24"/>
                <w:szCs w:val="24"/>
              </w:rPr>
              <w:t>late summer 2020.</w:t>
            </w:r>
            <w:r w:rsidR="00E05A35">
              <w:rPr>
                <w:rFonts w:ascii="Arial" w:hAnsi="Arial" w:cs="Arial"/>
                <w:color w:val="000000" w:themeColor="text1"/>
                <w:sz w:val="24"/>
                <w:szCs w:val="24"/>
              </w:rPr>
              <w:t xml:space="preserve"> However, with the need for the strategy to now address post-COVID economic recovery, the original timeline is </w:t>
            </w:r>
            <w:r w:rsidR="00BD3C3F">
              <w:rPr>
                <w:rFonts w:ascii="Arial" w:hAnsi="Arial" w:cs="Arial"/>
                <w:color w:val="000000" w:themeColor="text1"/>
                <w:sz w:val="24"/>
                <w:szCs w:val="24"/>
              </w:rPr>
              <w:t>under review.</w:t>
            </w:r>
          </w:p>
        </w:tc>
      </w:tr>
      <w:tr w:rsidR="00E25FEC" w:rsidRPr="00BA4AA1" w14:paraId="328DDA64" w14:textId="77777777" w:rsidTr="00E25FEC">
        <w:tc>
          <w:tcPr>
            <w:tcW w:w="5382" w:type="dxa"/>
          </w:tcPr>
          <w:p w14:paraId="178114E8"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Publish the Oxford Local Plan 2036. The Planning Inspectorate will examine the plan in 2019 with a view to adoption in early 2020.</w:t>
            </w:r>
          </w:p>
        </w:tc>
        <w:tc>
          <w:tcPr>
            <w:tcW w:w="9610" w:type="dxa"/>
          </w:tcPr>
          <w:p w14:paraId="4E0BB78F"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The Local Plan 2036 was published and is currently being examined by the Planning Inspectorate. A main modifications consultation was undertaken in Feb/March 2020 and adoption is anticipated in Summer 2020.</w:t>
            </w:r>
          </w:p>
        </w:tc>
      </w:tr>
      <w:tr w:rsidR="00E25FEC" w:rsidRPr="00BA4AA1" w14:paraId="2684896B" w14:textId="77777777" w:rsidTr="00E25FEC">
        <w:tc>
          <w:tcPr>
            <w:tcW w:w="5382" w:type="dxa"/>
          </w:tcPr>
          <w:p w14:paraId="07000852"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 xml:space="preserve">Progress Oxford Station redevelopment plans, working closely with Network Rail and partners. This will involve station works, bridge works, </w:t>
            </w:r>
            <w:r w:rsidRPr="00BA4AA1">
              <w:rPr>
                <w:rFonts w:ascii="Arial" w:hAnsi="Arial" w:cs="Arial"/>
                <w:color w:val="000000" w:themeColor="text1"/>
                <w:sz w:val="24"/>
                <w:szCs w:val="24"/>
              </w:rPr>
              <w:lastRenderedPageBreak/>
              <w:t>additional tracks, as well as the wider commercial development and transport interchange proposals.</w:t>
            </w:r>
          </w:p>
        </w:tc>
        <w:tc>
          <w:tcPr>
            <w:tcW w:w="9610" w:type="dxa"/>
          </w:tcPr>
          <w:p w14:paraId="274BEB09" w14:textId="77777777" w:rsidR="00E25FEC" w:rsidRPr="00BA4AA1" w:rsidRDefault="00A92E94"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lastRenderedPageBreak/>
              <w:t>Oxford</w:t>
            </w:r>
            <w:r w:rsidR="00E25FEC" w:rsidRPr="00BA4AA1">
              <w:rPr>
                <w:rFonts w:ascii="Arial" w:eastAsia="Calibri" w:hAnsi="Arial" w:cs="Arial"/>
                <w:color w:val="000000" w:themeColor="text1"/>
                <w:sz w:val="24"/>
                <w:szCs w:val="24"/>
              </w:rPr>
              <w:t xml:space="preserve"> City Council is working closely with the Department for Transport, Network Rail, Oxfordshire</w:t>
            </w:r>
            <w:r w:rsidR="00633FF4" w:rsidRPr="00BA4AA1">
              <w:rPr>
                <w:rFonts w:ascii="Arial" w:eastAsia="Calibri" w:hAnsi="Arial" w:cs="Arial"/>
                <w:color w:val="000000" w:themeColor="text1"/>
                <w:sz w:val="24"/>
                <w:szCs w:val="24"/>
              </w:rPr>
              <w:t xml:space="preserve"> County Council, Oxfordshire Local Enterprise Partnership (OxLEP) </w:t>
            </w:r>
            <w:r w:rsidR="00E25FEC" w:rsidRPr="00BA4AA1">
              <w:rPr>
                <w:rFonts w:ascii="Arial" w:eastAsia="Calibri" w:hAnsi="Arial" w:cs="Arial"/>
                <w:color w:val="000000" w:themeColor="text1"/>
                <w:sz w:val="24"/>
                <w:szCs w:val="24"/>
              </w:rPr>
              <w:t>and a range of local partners to progr</w:t>
            </w:r>
            <w:r w:rsidR="00633FF4" w:rsidRPr="00BA4AA1">
              <w:rPr>
                <w:rFonts w:ascii="Arial" w:eastAsia="Calibri" w:hAnsi="Arial" w:cs="Arial"/>
                <w:color w:val="000000" w:themeColor="text1"/>
                <w:sz w:val="24"/>
                <w:szCs w:val="24"/>
              </w:rPr>
              <w:t>ess these plans. Officers have</w:t>
            </w:r>
            <w:r w:rsidR="00E25FEC" w:rsidRPr="00BA4AA1">
              <w:rPr>
                <w:rFonts w:ascii="Arial" w:eastAsia="Calibri" w:hAnsi="Arial" w:cs="Arial"/>
                <w:color w:val="000000" w:themeColor="text1"/>
                <w:sz w:val="24"/>
                <w:szCs w:val="24"/>
              </w:rPr>
              <w:t xml:space="preserve"> secured £10m match </w:t>
            </w:r>
            <w:r w:rsidR="00E25FEC" w:rsidRPr="00BA4AA1">
              <w:rPr>
                <w:rFonts w:ascii="Arial" w:eastAsia="Calibri" w:hAnsi="Arial" w:cs="Arial"/>
                <w:color w:val="000000" w:themeColor="text1"/>
                <w:sz w:val="24"/>
                <w:szCs w:val="24"/>
              </w:rPr>
              <w:lastRenderedPageBreak/>
              <w:t xml:space="preserve">funding </w:t>
            </w:r>
            <w:r w:rsidR="00633FF4" w:rsidRPr="00BA4AA1">
              <w:rPr>
                <w:rFonts w:ascii="Arial" w:eastAsia="Calibri" w:hAnsi="Arial" w:cs="Arial"/>
                <w:color w:val="000000" w:themeColor="text1"/>
                <w:sz w:val="24"/>
                <w:szCs w:val="24"/>
              </w:rPr>
              <w:t xml:space="preserve">from OxLEP </w:t>
            </w:r>
            <w:r w:rsidR="00E25FEC" w:rsidRPr="00BA4AA1">
              <w:rPr>
                <w:rFonts w:ascii="Arial" w:eastAsia="Calibri" w:hAnsi="Arial" w:cs="Arial"/>
                <w:color w:val="000000" w:themeColor="text1"/>
                <w:sz w:val="24"/>
                <w:szCs w:val="24"/>
              </w:rPr>
              <w:t>towards the expected £150m required to deliver the Oxford Station Phase 2 (</w:t>
            </w:r>
            <w:r w:rsidR="00633FF4" w:rsidRPr="00BA4AA1">
              <w:rPr>
                <w:rFonts w:ascii="Arial" w:eastAsia="Calibri" w:hAnsi="Arial" w:cs="Arial"/>
                <w:color w:val="000000" w:themeColor="text1"/>
                <w:sz w:val="24"/>
                <w:szCs w:val="24"/>
              </w:rPr>
              <w:t>w</w:t>
            </w:r>
            <w:r w:rsidR="00E25FEC" w:rsidRPr="00BA4AA1">
              <w:rPr>
                <w:rFonts w:ascii="Arial" w:eastAsia="Calibri" w:hAnsi="Arial" w:cs="Arial"/>
                <w:color w:val="000000" w:themeColor="text1"/>
                <w:sz w:val="24"/>
                <w:szCs w:val="24"/>
              </w:rPr>
              <w:t xml:space="preserve">est side track, entrance and replacement of Botley Bridge). </w:t>
            </w:r>
            <w:r w:rsidR="00633FF4" w:rsidRPr="00BA4AA1">
              <w:rPr>
                <w:rFonts w:ascii="Arial" w:eastAsia="Calibri" w:hAnsi="Arial" w:cs="Arial"/>
                <w:color w:val="000000" w:themeColor="text1"/>
                <w:sz w:val="24"/>
                <w:szCs w:val="24"/>
              </w:rPr>
              <w:t>A</w:t>
            </w:r>
            <w:r w:rsidR="00E25FEC" w:rsidRPr="00BA4AA1">
              <w:rPr>
                <w:rFonts w:ascii="Arial" w:eastAsia="Calibri" w:hAnsi="Arial" w:cs="Arial"/>
                <w:color w:val="000000" w:themeColor="text1"/>
                <w:sz w:val="24"/>
                <w:szCs w:val="24"/>
              </w:rPr>
              <w:t xml:space="preserve">n outline business case </w:t>
            </w:r>
            <w:r w:rsidR="00633FF4" w:rsidRPr="00BA4AA1">
              <w:rPr>
                <w:rFonts w:ascii="Arial" w:eastAsia="Calibri" w:hAnsi="Arial" w:cs="Arial"/>
                <w:color w:val="000000" w:themeColor="text1"/>
                <w:sz w:val="24"/>
                <w:szCs w:val="24"/>
              </w:rPr>
              <w:t>has been prepared to s</w:t>
            </w:r>
            <w:r w:rsidR="00E25FEC" w:rsidRPr="00BA4AA1">
              <w:rPr>
                <w:rFonts w:ascii="Arial" w:eastAsia="Calibri" w:hAnsi="Arial" w:cs="Arial"/>
                <w:color w:val="000000" w:themeColor="text1"/>
                <w:sz w:val="24"/>
                <w:szCs w:val="24"/>
              </w:rPr>
              <w:t>upport Network Rail’s final business case to DfT. The Oxfordshire Rail Corridor Study has demonstrated a need to take forward feasibility work and bus</w:t>
            </w:r>
            <w:r w:rsidR="00633FF4" w:rsidRPr="00BA4AA1">
              <w:rPr>
                <w:rFonts w:ascii="Arial" w:eastAsia="Calibri" w:hAnsi="Arial" w:cs="Arial"/>
                <w:color w:val="000000" w:themeColor="text1"/>
                <w:sz w:val="24"/>
                <w:szCs w:val="24"/>
              </w:rPr>
              <w:t>iness case development for the e</w:t>
            </w:r>
            <w:r w:rsidR="00E25FEC" w:rsidRPr="00BA4AA1">
              <w:rPr>
                <w:rFonts w:ascii="Arial" w:eastAsia="Calibri" w:hAnsi="Arial" w:cs="Arial"/>
                <w:color w:val="000000" w:themeColor="text1"/>
                <w:sz w:val="24"/>
                <w:szCs w:val="24"/>
              </w:rPr>
              <w:t>ast side of Oxford Station (</w:t>
            </w:r>
            <w:r w:rsidR="00633FF4" w:rsidRPr="00BA4AA1">
              <w:rPr>
                <w:rFonts w:ascii="Arial" w:eastAsia="Calibri" w:hAnsi="Arial" w:cs="Arial"/>
                <w:color w:val="000000" w:themeColor="text1"/>
                <w:sz w:val="24"/>
                <w:szCs w:val="24"/>
              </w:rPr>
              <w:t>P</w:t>
            </w:r>
            <w:r w:rsidR="00E25FEC" w:rsidRPr="00BA4AA1">
              <w:rPr>
                <w:rFonts w:ascii="Arial" w:eastAsia="Calibri" w:hAnsi="Arial" w:cs="Arial"/>
                <w:color w:val="000000" w:themeColor="text1"/>
                <w:sz w:val="24"/>
                <w:szCs w:val="24"/>
              </w:rPr>
              <w:t>hase 3) which would enable county and nationwide rail enhancements including Co</w:t>
            </w:r>
            <w:r w:rsidR="00633FF4" w:rsidRPr="00BA4AA1">
              <w:rPr>
                <w:rFonts w:ascii="Arial" w:eastAsia="Calibri" w:hAnsi="Arial" w:cs="Arial"/>
                <w:color w:val="000000" w:themeColor="text1"/>
                <w:sz w:val="24"/>
                <w:szCs w:val="24"/>
              </w:rPr>
              <w:t>wley</w:t>
            </w:r>
            <w:r w:rsidR="00E25FEC" w:rsidRPr="00BA4AA1">
              <w:rPr>
                <w:rFonts w:ascii="Arial" w:eastAsia="Calibri" w:hAnsi="Arial" w:cs="Arial"/>
                <w:color w:val="000000" w:themeColor="text1"/>
                <w:sz w:val="24"/>
                <w:szCs w:val="24"/>
              </w:rPr>
              <w:t xml:space="preserve"> Branch Line and a new station at Oxford (post 2025). A s</w:t>
            </w:r>
            <w:r w:rsidR="00633FF4" w:rsidRPr="00BA4AA1">
              <w:rPr>
                <w:rFonts w:ascii="Arial" w:eastAsia="Calibri" w:hAnsi="Arial" w:cs="Arial"/>
                <w:color w:val="000000" w:themeColor="text1"/>
                <w:sz w:val="24"/>
                <w:szCs w:val="24"/>
              </w:rPr>
              <w:t>tage 1 development Study for Cowley</w:t>
            </w:r>
            <w:r w:rsidR="00E25FEC" w:rsidRPr="00BA4AA1">
              <w:rPr>
                <w:rFonts w:ascii="Arial" w:eastAsia="Calibri" w:hAnsi="Arial" w:cs="Arial"/>
                <w:color w:val="000000" w:themeColor="text1"/>
                <w:sz w:val="24"/>
                <w:szCs w:val="24"/>
              </w:rPr>
              <w:t xml:space="preserve"> Branch Line has been delivered and allows the scheme to progress to more detailed design and business case work (delivery post 2025). We have also positioned Oxford Station as a key project in the Oxfordshire Industrial Strategy. </w:t>
            </w:r>
          </w:p>
        </w:tc>
      </w:tr>
      <w:tr w:rsidR="00E25FEC" w:rsidRPr="00BA4AA1" w14:paraId="67699EA0" w14:textId="77777777" w:rsidTr="00E25FEC">
        <w:tc>
          <w:tcPr>
            <w:tcW w:w="5382" w:type="dxa"/>
          </w:tcPr>
          <w:p w14:paraId="45989CD8"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Deve</w:t>
            </w:r>
            <w:r w:rsidR="00C22379" w:rsidRPr="00BA4AA1">
              <w:rPr>
                <w:rFonts w:ascii="Arial" w:hAnsi="Arial" w:cs="Arial"/>
                <w:color w:val="000000" w:themeColor="text1"/>
                <w:sz w:val="24"/>
                <w:szCs w:val="24"/>
              </w:rPr>
              <w:t>lop Blackbird Leys masterplan in consultation</w:t>
            </w:r>
            <w:r w:rsidRPr="00BA4AA1">
              <w:rPr>
                <w:rFonts w:ascii="Arial" w:hAnsi="Arial" w:cs="Arial"/>
                <w:color w:val="000000" w:themeColor="text1"/>
                <w:sz w:val="24"/>
                <w:szCs w:val="24"/>
              </w:rPr>
              <w:t xml:space="preserve"> with local people for new shops</w:t>
            </w:r>
            <w:r w:rsidR="00C22379" w:rsidRPr="00BA4AA1">
              <w:rPr>
                <w:rFonts w:ascii="Arial" w:hAnsi="Arial" w:cs="Arial"/>
                <w:color w:val="000000" w:themeColor="text1"/>
                <w:sz w:val="24"/>
                <w:szCs w:val="24"/>
              </w:rPr>
              <w:t xml:space="preserve"> and </w:t>
            </w:r>
            <w:r w:rsidRPr="00BA4AA1">
              <w:rPr>
                <w:rFonts w:ascii="Arial" w:hAnsi="Arial" w:cs="Arial"/>
                <w:color w:val="000000" w:themeColor="text1"/>
                <w:sz w:val="24"/>
                <w:szCs w:val="24"/>
              </w:rPr>
              <w:t>affordable homes.</w:t>
            </w:r>
          </w:p>
        </w:tc>
        <w:tc>
          <w:tcPr>
            <w:tcW w:w="9610" w:type="dxa"/>
          </w:tcPr>
          <w:p w14:paraId="0AC5F58B" w14:textId="29BA4B6B" w:rsidR="00E25FEC" w:rsidRPr="00BA4AA1" w:rsidRDefault="00633FF4" w:rsidP="00BD3C3F">
            <w:pPr>
              <w:rPr>
                <w:rFonts w:ascii="Arial" w:hAnsi="Arial" w:cs="Arial"/>
                <w:iCs/>
                <w:color w:val="000000" w:themeColor="text1"/>
                <w:sz w:val="24"/>
                <w:szCs w:val="24"/>
              </w:rPr>
            </w:pPr>
            <w:r w:rsidRPr="00BA4AA1">
              <w:rPr>
                <w:rFonts w:ascii="Arial" w:hAnsi="Arial" w:cs="Arial"/>
                <w:iCs/>
                <w:color w:val="000000" w:themeColor="text1"/>
                <w:sz w:val="24"/>
                <w:szCs w:val="24"/>
              </w:rPr>
              <w:t xml:space="preserve">A series of </w:t>
            </w:r>
            <w:r w:rsidRPr="00BA4AA1">
              <w:rPr>
                <w:rFonts w:ascii="Arial" w:hAnsi="Arial" w:cs="Arial"/>
                <w:sz w:val="24"/>
                <w:szCs w:val="24"/>
              </w:rPr>
              <w:t>consultation events have been held on plans for Blackbird Leys</w:t>
            </w:r>
            <w:r w:rsidR="00C22379" w:rsidRPr="00BA4AA1">
              <w:rPr>
                <w:rFonts w:ascii="Arial" w:hAnsi="Arial" w:cs="Arial"/>
                <w:sz w:val="24"/>
                <w:szCs w:val="24"/>
              </w:rPr>
              <w:t xml:space="preserve"> regeneration, including 275 new homes a new community centre and retail facilities and new and improved public space. </w:t>
            </w:r>
          </w:p>
        </w:tc>
      </w:tr>
      <w:tr w:rsidR="00E25FEC" w:rsidRPr="00BA4AA1" w14:paraId="18A0FB11" w14:textId="77777777" w:rsidTr="00E25FEC">
        <w:tc>
          <w:tcPr>
            <w:tcW w:w="5382" w:type="dxa"/>
          </w:tcPr>
          <w:p w14:paraId="59F744C1"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Develop a Vision for Oxford’s City Centre to guide the Council’s policies and support our ambition that it is a world class, attractive and vibrant centre for culture, retail, commerce, learning and leisure.</w:t>
            </w:r>
          </w:p>
        </w:tc>
        <w:tc>
          <w:tcPr>
            <w:tcW w:w="9610" w:type="dxa"/>
          </w:tcPr>
          <w:p w14:paraId="7E1577C7" w14:textId="7FFB731B" w:rsidR="00E25FEC" w:rsidRPr="00BA4AA1" w:rsidRDefault="00A046E9" w:rsidP="00BD3C3F">
            <w:pPr>
              <w:rPr>
                <w:rFonts w:ascii="Arial" w:hAnsi="Arial" w:cs="Arial"/>
                <w:color w:val="000000" w:themeColor="text1"/>
                <w:sz w:val="24"/>
                <w:szCs w:val="24"/>
              </w:rPr>
            </w:pPr>
            <w:r w:rsidRPr="00BA4AA1">
              <w:rPr>
                <w:rFonts w:ascii="Arial" w:hAnsi="Arial" w:cs="Arial"/>
                <w:color w:val="000000" w:themeColor="text1"/>
                <w:sz w:val="24"/>
                <w:szCs w:val="24"/>
              </w:rPr>
              <w:t xml:space="preserve">The </w:t>
            </w:r>
            <w:r w:rsidR="00E25FEC" w:rsidRPr="00BA4AA1">
              <w:rPr>
                <w:rFonts w:ascii="Arial" w:hAnsi="Arial" w:cs="Arial"/>
                <w:color w:val="000000" w:themeColor="text1"/>
                <w:sz w:val="24"/>
                <w:szCs w:val="24"/>
              </w:rPr>
              <w:t>City Centre Vision and Action Plan project</w:t>
            </w:r>
            <w:r w:rsidRPr="00BA4AA1">
              <w:rPr>
                <w:rFonts w:ascii="Arial" w:hAnsi="Arial" w:cs="Arial"/>
                <w:color w:val="000000" w:themeColor="text1"/>
                <w:sz w:val="24"/>
                <w:szCs w:val="24"/>
              </w:rPr>
              <w:t xml:space="preserve"> commenced</w:t>
            </w:r>
            <w:r w:rsidR="00E25FEC" w:rsidRPr="00BA4AA1">
              <w:rPr>
                <w:rFonts w:ascii="Arial" w:hAnsi="Arial" w:cs="Arial"/>
                <w:color w:val="000000" w:themeColor="text1"/>
                <w:sz w:val="24"/>
                <w:szCs w:val="24"/>
              </w:rPr>
              <w:t xml:space="preserve"> in September 2019 </w:t>
            </w:r>
            <w:r w:rsidRPr="00BA4AA1">
              <w:rPr>
                <w:rFonts w:ascii="Arial" w:hAnsi="Arial" w:cs="Arial"/>
                <w:color w:val="000000" w:themeColor="text1"/>
                <w:sz w:val="24"/>
                <w:szCs w:val="24"/>
              </w:rPr>
              <w:t xml:space="preserve">with the appointment of </w:t>
            </w:r>
            <w:r w:rsidR="00E25FEC" w:rsidRPr="00BA4AA1">
              <w:rPr>
                <w:rFonts w:ascii="Arial" w:hAnsi="Arial" w:cs="Arial"/>
                <w:color w:val="000000" w:themeColor="text1"/>
                <w:sz w:val="24"/>
                <w:szCs w:val="24"/>
              </w:rPr>
              <w:t xml:space="preserve">a consultant team led by Hatch Regeneris. We have completed the draft Evidence Base and initial consultation, conducted two </w:t>
            </w:r>
            <w:r w:rsidRPr="00BA4AA1">
              <w:rPr>
                <w:rFonts w:ascii="Arial" w:hAnsi="Arial" w:cs="Arial"/>
                <w:color w:val="000000" w:themeColor="text1"/>
                <w:sz w:val="24"/>
                <w:szCs w:val="24"/>
              </w:rPr>
              <w:t xml:space="preserve">of four </w:t>
            </w:r>
            <w:r w:rsidR="00E25FEC" w:rsidRPr="00BA4AA1">
              <w:rPr>
                <w:rFonts w:ascii="Arial" w:hAnsi="Arial" w:cs="Arial"/>
                <w:color w:val="000000" w:themeColor="text1"/>
                <w:sz w:val="24"/>
                <w:szCs w:val="24"/>
              </w:rPr>
              <w:t>City Centre Task Force meetings focused on the new vision</w:t>
            </w:r>
            <w:r w:rsidR="00E05A35">
              <w:rPr>
                <w:rFonts w:ascii="Arial" w:hAnsi="Arial" w:cs="Arial"/>
                <w:color w:val="000000" w:themeColor="text1"/>
                <w:sz w:val="24"/>
                <w:szCs w:val="24"/>
              </w:rPr>
              <w:t xml:space="preserve">. However, work has now been widened to address post-COVID restart and recovery in the city centre, </w:t>
            </w:r>
            <w:r w:rsidR="00E25FEC" w:rsidRPr="00BA4AA1">
              <w:rPr>
                <w:rFonts w:ascii="Arial" w:hAnsi="Arial" w:cs="Arial"/>
                <w:color w:val="000000" w:themeColor="text1"/>
                <w:sz w:val="24"/>
                <w:szCs w:val="24"/>
              </w:rPr>
              <w:t xml:space="preserve">and anticipate </w:t>
            </w:r>
            <w:r w:rsidRPr="00BA4AA1">
              <w:rPr>
                <w:rFonts w:ascii="Arial" w:hAnsi="Arial" w:cs="Arial"/>
                <w:color w:val="000000" w:themeColor="text1"/>
                <w:sz w:val="24"/>
                <w:szCs w:val="24"/>
              </w:rPr>
              <w:t xml:space="preserve">having a </w:t>
            </w:r>
            <w:r w:rsidR="00E25FEC" w:rsidRPr="00BA4AA1">
              <w:rPr>
                <w:rFonts w:ascii="Arial" w:hAnsi="Arial" w:cs="Arial"/>
                <w:color w:val="000000" w:themeColor="text1"/>
                <w:sz w:val="24"/>
                <w:szCs w:val="24"/>
              </w:rPr>
              <w:t xml:space="preserve">final version </w:t>
            </w:r>
            <w:r w:rsidRPr="00BA4AA1">
              <w:rPr>
                <w:rFonts w:ascii="Arial" w:hAnsi="Arial" w:cs="Arial"/>
                <w:color w:val="000000" w:themeColor="text1"/>
                <w:sz w:val="24"/>
                <w:szCs w:val="24"/>
              </w:rPr>
              <w:t xml:space="preserve">in </w:t>
            </w:r>
            <w:r w:rsidR="00E25FEC" w:rsidRPr="00BA4AA1">
              <w:rPr>
                <w:rFonts w:ascii="Arial" w:hAnsi="Arial" w:cs="Arial"/>
                <w:color w:val="000000" w:themeColor="text1"/>
                <w:sz w:val="24"/>
                <w:szCs w:val="24"/>
              </w:rPr>
              <w:t>late summer 2020.</w:t>
            </w:r>
          </w:p>
        </w:tc>
      </w:tr>
      <w:tr w:rsidR="00E25FEC" w:rsidRPr="00BA4AA1" w14:paraId="7A7C0F16" w14:textId="77777777" w:rsidTr="00E25FEC">
        <w:tc>
          <w:tcPr>
            <w:tcW w:w="5382" w:type="dxa"/>
          </w:tcPr>
          <w:p w14:paraId="72CC72B2"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Take forward our capital investment programme to develop, for example, Seacourt Park &amp; Ride and East Oxford Community Centre.</w:t>
            </w:r>
          </w:p>
        </w:tc>
        <w:tc>
          <w:tcPr>
            <w:tcW w:w="9610" w:type="dxa"/>
          </w:tcPr>
          <w:p w14:paraId="2859075C" w14:textId="77777777" w:rsidR="00E25FEC" w:rsidRPr="00BA4AA1" w:rsidRDefault="00E25FEC" w:rsidP="005B0C04">
            <w:pPr>
              <w:rPr>
                <w:rFonts w:ascii="Arial" w:hAnsi="Arial" w:cs="Arial"/>
                <w:i/>
                <w:iCs/>
                <w:color w:val="000000" w:themeColor="text1"/>
                <w:sz w:val="24"/>
                <w:szCs w:val="24"/>
              </w:rPr>
            </w:pPr>
            <w:r w:rsidRPr="00BA4AA1">
              <w:rPr>
                <w:rFonts w:ascii="Arial" w:hAnsi="Arial" w:cs="Arial"/>
                <w:iCs/>
                <w:color w:val="000000" w:themeColor="text1"/>
                <w:sz w:val="24"/>
                <w:szCs w:val="24"/>
              </w:rPr>
              <w:t xml:space="preserve">Seacourt Park &amp; Ride extension is currently under construction, </w:t>
            </w:r>
            <w:r w:rsidR="00A92E94" w:rsidRPr="00BA4AA1">
              <w:rPr>
                <w:rFonts w:ascii="Arial" w:hAnsi="Arial" w:cs="Arial"/>
                <w:iCs/>
                <w:color w:val="000000" w:themeColor="text1"/>
                <w:sz w:val="24"/>
                <w:szCs w:val="24"/>
              </w:rPr>
              <w:t>with the</w:t>
            </w:r>
            <w:r w:rsidRPr="00BA4AA1">
              <w:rPr>
                <w:rFonts w:ascii="Arial" w:hAnsi="Arial" w:cs="Arial"/>
                <w:iCs/>
                <w:color w:val="000000" w:themeColor="text1"/>
                <w:sz w:val="24"/>
                <w:szCs w:val="24"/>
              </w:rPr>
              <w:t xml:space="preserve"> work is being delivered in partnership with Oxford Direct Services.</w:t>
            </w:r>
            <w:r w:rsidR="00A92E94" w:rsidRPr="00BA4AA1">
              <w:rPr>
                <w:rFonts w:ascii="Arial" w:hAnsi="Arial" w:cs="Arial"/>
                <w:iCs/>
                <w:color w:val="000000" w:themeColor="text1"/>
                <w:sz w:val="24"/>
                <w:szCs w:val="24"/>
              </w:rPr>
              <w:t xml:space="preserve"> </w:t>
            </w:r>
            <w:r w:rsidRPr="00BA4AA1">
              <w:rPr>
                <w:rFonts w:ascii="Arial" w:hAnsi="Arial" w:cs="Arial"/>
                <w:iCs/>
                <w:color w:val="000000" w:themeColor="text1"/>
                <w:sz w:val="24"/>
                <w:szCs w:val="24"/>
              </w:rPr>
              <w:t xml:space="preserve">The East Oxford Community Centre redevelopment plans have progressed following public consultation </w:t>
            </w:r>
            <w:r w:rsidR="00A92E94" w:rsidRPr="00BA4AA1">
              <w:rPr>
                <w:rFonts w:ascii="Arial" w:hAnsi="Arial" w:cs="Arial"/>
                <w:iCs/>
                <w:color w:val="000000" w:themeColor="text1"/>
                <w:sz w:val="24"/>
                <w:szCs w:val="24"/>
              </w:rPr>
              <w:t>in</w:t>
            </w:r>
            <w:r w:rsidRPr="00BA4AA1">
              <w:rPr>
                <w:rFonts w:ascii="Arial" w:hAnsi="Arial" w:cs="Arial"/>
                <w:iCs/>
                <w:color w:val="000000" w:themeColor="text1"/>
                <w:sz w:val="24"/>
                <w:szCs w:val="24"/>
              </w:rPr>
              <w:t xml:space="preserve"> 2019 which showed that the community wanted a fully redeveloped centre. </w:t>
            </w:r>
            <w:r w:rsidR="005B0C04">
              <w:rPr>
                <w:rFonts w:ascii="Arial" w:hAnsi="Arial" w:cs="Arial"/>
                <w:iCs/>
                <w:color w:val="000000" w:themeColor="text1"/>
                <w:sz w:val="24"/>
                <w:szCs w:val="24"/>
              </w:rPr>
              <w:t>However, it is currently paused along with many other capital investment projects, as the Council has prioritised its COVID response.</w:t>
            </w:r>
          </w:p>
        </w:tc>
      </w:tr>
      <w:tr w:rsidR="00E25FEC" w:rsidRPr="00BA4AA1" w14:paraId="27FAE64D" w14:textId="77777777" w:rsidTr="00E25FEC">
        <w:tc>
          <w:tcPr>
            <w:tcW w:w="5382" w:type="dxa"/>
          </w:tcPr>
          <w:p w14:paraId="045BC7D1"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Work with traders in the Covered Market to increase footfall and awareness so it continues to be a sustainable and vibrant place to trade.</w:t>
            </w:r>
          </w:p>
        </w:tc>
        <w:tc>
          <w:tcPr>
            <w:tcW w:w="9610" w:type="dxa"/>
          </w:tcPr>
          <w:p w14:paraId="500D441D" w14:textId="630506BC" w:rsidR="00E25FEC" w:rsidRPr="00BA4AA1" w:rsidRDefault="00A92E94" w:rsidP="00BD3C3F">
            <w:pPr>
              <w:rPr>
                <w:rFonts w:ascii="Arial" w:hAnsi="Arial" w:cs="Arial"/>
                <w:color w:val="000000" w:themeColor="text1"/>
                <w:sz w:val="24"/>
                <w:szCs w:val="24"/>
              </w:rPr>
            </w:pPr>
            <w:r w:rsidRPr="00BA4AA1">
              <w:rPr>
                <w:rFonts w:ascii="Arial" w:eastAsia="Calibri" w:hAnsi="Arial" w:cs="Arial"/>
                <w:color w:val="000000" w:themeColor="text1"/>
                <w:sz w:val="24"/>
                <w:szCs w:val="24"/>
              </w:rPr>
              <w:t>Oxford City</w:t>
            </w:r>
            <w:r w:rsidR="00E25FEC" w:rsidRPr="00BA4AA1">
              <w:rPr>
                <w:rFonts w:ascii="Arial" w:eastAsia="Calibri" w:hAnsi="Arial" w:cs="Arial"/>
                <w:color w:val="000000" w:themeColor="text1"/>
                <w:sz w:val="24"/>
                <w:szCs w:val="24"/>
              </w:rPr>
              <w:t xml:space="preserve"> Council </w:t>
            </w:r>
            <w:r w:rsidRPr="00BA4AA1">
              <w:rPr>
                <w:rFonts w:ascii="Arial" w:eastAsia="Calibri" w:hAnsi="Arial" w:cs="Arial"/>
                <w:color w:val="000000" w:themeColor="text1"/>
                <w:sz w:val="24"/>
                <w:szCs w:val="24"/>
              </w:rPr>
              <w:t xml:space="preserve">has taken over marketing and </w:t>
            </w:r>
            <w:r w:rsidR="00E25FEC" w:rsidRPr="00BA4AA1">
              <w:rPr>
                <w:rFonts w:ascii="Arial" w:eastAsia="Calibri" w:hAnsi="Arial" w:cs="Arial"/>
                <w:color w:val="000000" w:themeColor="text1"/>
                <w:sz w:val="24"/>
                <w:szCs w:val="24"/>
              </w:rPr>
              <w:t xml:space="preserve">social media </w:t>
            </w:r>
            <w:r w:rsidRPr="00BA4AA1">
              <w:rPr>
                <w:rFonts w:ascii="Arial" w:eastAsia="Calibri" w:hAnsi="Arial" w:cs="Arial"/>
                <w:color w:val="000000" w:themeColor="text1"/>
                <w:sz w:val="24"/>
                <w:szCs w:val="24"/>
              </w:rPr>
              <w:t xml:space="preserve">the Covered Market to boost </w:t>
            </w:r>
            <w:r w:rsidR="00E25FEC" w:rsidRPr="00BA4AA1">
              <w:rPr>
                <w:rFonts w:ascii="Arial" w:eastAsia="Calibri" w:hAnsi="Arial" w:cs="Arial"/>
                <w:color w:val="000000" w:themeColor="text1"/>
                <w:sz w:val="24"/>
                <w:szCs w:val="24"/>
              </w:rPr>
              <w:t>traders</w:t>
            </w:r>
            <w:r w:rsidRPr="00BA4AA1">
              <w:rPr>
                <w:rFonts w:ascii="Arial" w:eastAsia="Calibri" w:hAnsi="Arial" w:cs="Arial"/>
                <w:color w:val="000000" w:themeColor="text1"/>
                <w:sz w:val="24"/>
                <w:szCs w:val="24"/>
              </w:rPr>
              <w:t>’</w:t>
            </w:r>
            <w:r w:rsidR="00E25FEC" w:rsidRPr="00BA4AA1">
              <w:rPr>
                <w:rFonts w:ascii="Arial" w:eastAsia="Calibri" w:hAnsi="Arial" w:cs="Arial"/>
                <w:color w:val="000000" w:themeColor="text1"/>
                <w:sz w:val="24"/>
                <w:szCs w:val="24"/>
              </w:rPr>
              <w:t xml:space="preserve"> profile. Plans to invigorate the central area and extend opening hours with a bar </w:t>
            </w:r>
            <w:r w:rsidRPr="00BA4AA1">
              <w:rPr>
                <w:rFonts w:ascii="Arial" w:eastAsia="Calibri" w:hAnsi="Arial" w:cs="Arial"/>
                <w:color w:val="000000" w:themeColor="text1"/>
                <w:sz w:val="24"/>
                <w:szCs w:val="24"/>
              </w:rPr>
              <w:t>and events are progressing well</w:t>
            </w:r>
            <w:r w:rsidR="00E25FEC" w:rsidRPr="00BA4AA1">
              <w:rPr>
                <w:rFonts w:ascii="Arial" w:eastAsia="Calibri" w:hAnsi="Arial" w:cs="Arial"/>
                <w:color w:val="000000" w:themeColor="text1"/>
                <w:sz w:val="24"/>
                <w:szCs w:val="24"/>
              </w:rPr>
              <w:t>.</w:t>
            </w:r>
            <w:r w:rsidR="005B0C04">
              <w:rPr>
                <w:rFonts w:ascii="Arial" w:eastAsia="Calibri" w:hAnsi="Arial" w:cs="Arial"/>
                <w:color w:val="000000" w:themeColor="text1"/>
                <w:sz w:val="24"/>
                <w:szCs w:val="24"/>
              </w:rPr>
              <w:t xml:space="preserve"> </w:t>
            </w:r>
            <w:r w:rsidR="00BD3C3F">
              <w:rPr>
                <w:rFonts w:ascii="Arial" w:eastAsia="Calibri" w:hAnsi="Arial" w:cs="Arial"/>
                <w:color w:val="000000" w:themeColor="text1"/>
                <w:sz w:val="24"/>
                <w:szCs w:val="24"/>
              </w:rPr>
              <w:t>T</w:t>
            </w:r>
            <w:r w:rsidR="005B0C04">
              <w:rPr>
                <w:rFonts w:ascii="Arial" w:eastAsia="Calibri" w:hAnsi="Arial" w:cs="Arial"/>
                <w:color w:val="000000" w:themeColor="text1"/>
                <w:sz w:val="24"/>
                <w:szCs w:val="24"/>
              </w:rPr>
              <w:t>imelines will be reviewed as required in the post-COVID situation.</w:t>
            </w:r>
          </w:p>
        </w:tc>
      </w:tr>
      <w:tr w:rsidR="00E25FEC" w:rsidRPr="00BA4AA1" w14:paraId="2C3A2BB5" w14:textId="77777777" w:rsidTr="00E25FEC">
        <w:tc>
          <w:tcPr>
            <w:tcW w:w="5382" w:type="dxa"/>
          </w:tcPr>
          <w:p w14:paraId="5F61E2AD" w14:textId="77777777" w:rsidR="00E25FEC" w:rsidRPr="00BA4AA1" w:rsidRDefault="00E25FEC" w:rsidP="00BA4AA1">
            <w:pPr>
              <w:rPr>
                <w:rFonts w:ascii="Arial" w:hAnsi="Arial" w:cs="Arial"/>
                <w:color w:val="000000" w:themeColor="text1"/>
                <w:sz w:val="24"/>
                <w:szCs w:val="24"/>
              </w:rPr>
            </w:pPr>
            <w:r w:rsidRPr="00BA4AA1">
              <w:rPr>
                <w:rFonts w:ascii="Arial" w:hAnsi="Arial" w:cs="Arial"/>
                <w:color w:val="000000" w:themeColor="text1"/>
                <w:sz w:val="24"/>
                <w:szCs w:val="24"/>
              </w:rPr>
              <w:t xml:space="preserve">The Council’s digital technology partnership Smart Oxford will provide co-working space with support and mentors for ten to twenty digital </w:t>
            </w:r>
            <w:r w:rsidRPr="00BA4AA1">
              <w:rPr>
                <w:rFonts w:ascii="Arial" w:hAnsi="Arial" w:cs="Arial"/>
                <w:color w:val="000000" w:themeColor="text1"/>
                <w:sz w:val="24"/>
                <w:szCs w:val="24"/>
              </w:rPr>
              <w:lastRenderedPageBreak/>
              <w:t>technology start-ups to deliver apps and solutions to support health and wellbeing.</w:t>
            </w:r>
          </w:p>
        </w:tc>
        <w:tc>
          <w:tcPr>
            <w:tcW w:w="9610" w:type="dxa"/>
          </w:tcPr>
          <w:p w14:paraId="4941E45C" w14:textId="77777777" w:rsidR="00E25FEC" w:rsidRPr="00BA4AA1" w:rsidRDefault="00A92E94"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lastRenderedPageBreak/>
              <w:t xml:space="preserve">Working with 30+ start-ups and </w:t>
            </w:r>
            <w:r w:rsidR="00E25FEC" w:rsidRPr="00BA4AA1">
              <w:rPr>
                <w:rFonts w:ascii="Arial" w:eastAsia="Calibri" w:hAnsi="Arial" w:cs="Arial"/>
                <w:color w:val="000000" w:themeColor="text1"/>
                <w:sz w:val="24"/>
                <w:szCs w:val="24"/>
              </w:rPr>
              <w:t xml:space="preserve">SMEs </w:t>
            </w:r>
            <w:r w:rsidRPr="00BA4AA1">
              <w:rPr>
                <w:rFonts w:ascii="Arial" w:eastAsia="Calibri" w:hAnsi="Arial" w:cs="Arial"/>
                <w:color w:val="000000" w:themeColor="text1"/>
                <w:sz w:val="24"/>
                <w:szCs w:val="24"/>
              </w:rPr>
              <w:t xml:space="preserve">(small and medium-sized enterprises) </w:t>
            </w:r>
            <w:r w:rsidR="00E25FEC" w:rsidRPr="00BA4AA1">
              <w:rPr>
                <w:rFonts w:ascii="Arial" w:eastAsia="Calibri" w:hAnsi="Arial" w:cs="Arial"/>
                <w:color w:val="000000" w:themeColor="text1"/>
                <w:sz w:val="24"/>
                <w:szCs w:val="24"/>
              </w:rPr>
              <w:t xml:space="preserve">in the Smart Oxford programme, providing support and mentoring, and collaborating with </w:t>
            </w:r>
            <w:r w:rsidR="00E25FEC" w:rsidRPr="00BA4AA1">
              <w:rPr>
                <w:rFonts w:ascii="Arial" w:eastAsia="Calibri" w:hAnsi="Arial" w:cs="Arial"/>
                <w:color w:val="000000" w:themeColor="text1"/>
                <w:sz w:val="24"/>
                <w:szCs w:val="24"/>
              </w:rPr>
              <w:lastRenderedPageBreak/>
              <w:t>OSEP’s eScalate Social Enterprise Hub network for any co-working space that they may need.</w:t>
            </w:r>
          </w:p>
          <w:p w14:paraId="7FE26B45" w14:textId="77777777" w:rsidR="00E25FEC" w:rsidRPr="00BA4AA1" w:rsidRDefault="00E25FEC" w:rsidP="00BA4AA1">
            <w:pPr>
              <w:rPr>
                <w:rFonts w:ascii="Arial" w:hAnsi="Arial" w:cs="Arial"/>
                <w:color w:val="000000" w:themeColor="text1"/>
                <w:sz w:val="24"/>
                <w:szCs w:val="24"/>
              </w:rPr>
            </w:pPr>
          </w:p>
        </w:tc>
      </w:tr>
    </w:tbl>
    <w:p w14:paraId="4EAB791F" w14:textId="77777777" w:rsidR="00026BA7" w:rsidRPr="00BA4AA1" w:rsidRDefault="00026BA7" w:rsidP="00BA4AA1">
      <w:pPr>
        <w:spacing w:after="0" w:line="240" w:lineRule="auto"/>
        <w:rPr>
          <w:rFonts w:ascii="Arial" w:hAnsi="Arial" w:cs="Arial"/>
          <w:color w:val="000000" w:themeColor="text1"/>
          <w:sz w:val="24"/>
          <w:szCs w:val="24"/>
        </w:rPr>
      </w:pPr>
    </w:p>
    <w:p w14:paraId="23528736" w14:textId="77777777" w:rsidR="007B1474" w:rsidRPr="00BA4AA1" w:rsidRDefault="007B1474" w:rsidP="00BA4AA1">
      <w:pPr>
        <w:spacing w:after="0" w:line="240" w:lineRule="auto"/>
        <w:rPr>
          <w:rFonts w:ascii="Arial" w:hAnsi="Arial" w:cs="Arial"/>
          <w:b/>
          <w:bCs/>
          <w:color w:val="000000" w:themeColor="text1"/>
          <w:sz w:val="24"/>
          <w:szCs w:val="24"/>
        </w:rPr>
      </w:pPr>
    </w:p>
    <w:p w14:paraId="3019DA24" w14:textId="77777777" w:rsidR="007B1474" w:rsidRPr="00BA4AA1" w:rsidRDefault="007B1474" w:rsidP="00BA4AA1">
      <w:pPr>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3823"/>
        <w:gridCol w:w="3969"/>
        <w:gridCol w:w="3827"/>
      </w:tblGrid>
      <w:tr w:rsidR="00A92E94" w:rsidRPr="00BA4AA1" w14:paraId="30714922" w14:textId="77777777" w:rsidTr="0C3F49AC">
        <w:tc>
          <w:tcPr>
            <w:tcW w:w="3823" w:type="dxa"/>
          </w:tcPr>
          <w:p w14:paraId="6AD26168" w14:textId="77777777" w:rsidR="00A92E94" w:rsidRPr="00BA4AA1" w:rsidRDefault="00A92E94"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Success Measures</w:t>
            </w:r>
          </w:p>
          <w:p w14:paraId="23EFB3D1" w14:textId="77777777" w:rsidR="00A92E94" w:rsidRPr="00BA4AA1" w:rsidRDefault="00A92E94" w:rsidP="00BA4AA1">
            <w:pPr>
              <w:rPr>
                <w:rFonts w:ascii="Arial" w:hAnsi="Arial" w:cs="Arial"/>
                <w:b/>
                <w:bCs/>
                <w:color w:val="000000" w:themeColor="text1"/>
                <w:sz w:val="24"/>
                <w:szCs w:val="24"/>
              </w:rPr>
            </w:pPr>
          </w:p>
        </w:tc>
        <w:tc>
          <w:tcPr>
            <w:tcW w:w="3969" w:type="dxa"/>
          </w:tcPr>
          <w:p w14:paraId="3DD21518" w14:textId="77777777" w:rsidR="00A92E94" w:rsidRPr="00BA4AA1" w:rsidRDefault="00A92E94"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Targets</w:t>
            </w:r>
          </w:p>
          <w:p w14:paraId="3F800E17" w14:textId="77777777" w:rsidR="00A92E94" w:rsidRPr="00BA4AA1" w:rsidRDefault="00A92E94" w:rsidP="00BA4AA1">
            <w:pPr>
              <w:rPr>
                <w:rFonts w:ascii="Arial" w:hAnsi="Arial" w:cs="Arial"/>
                <w:b/>
                <w:bCs/>
                <w:color w:val="000000" w:themeColor="text1"/>
                <w:sz w:val="24"/>
                <w:szCs w:val="24"/>
              </w:rPr>
            </w:pPr>
          </w:p>
        </w:tc>
        <w:tc>
          <w:tcPr>
            <w:tcW w:w="3827" w:type="dxa"/>
          </w:tcPr>
          <w:p w14:paraId="2EA95010" w14:textId="77777777" w:rsidR="00A92E94" w:rsidRPr="00BA4AA1" w:rsidRDefault="00A92E94"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outcomes</w:t>
            </w:r>
          </w:p>
        </w:tc>
      </w:tr>
      <w:tr w:rsidR="00A92E94" w:rsidRPr="00BA4AA1" w14:paraId="5AFF5AAA" w14:textId="77777777" w:rsidTr="0C3F49AC">
        <w:tc>
          <w:tcPr>
            <w:tcW w:w="3823" w:type="dxa"/>
          </w:tcPr>
          <w:p w14:paraId="050F7698"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Amount of employment space</w:t>
            </w:r>
          </w:p>
          <w:p w14:paraId="3D456582"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permitted for development</w:t>
            </w:r>
          </w:p>
          <w:p w14:paraId="2A540039" w14:textId="77777777" w:rsidR="00A92E94" w:rsidRPr="00BA4AA1" w:rsidRDefault="00A92E94" w:rsidP="00BA4AA1">
            <w:pPr>
              <w:rPr>
                <w:rFonts w:ascii="Arial" w:hAnsi="Arial" w:cs="Arial"/>
                <w:b/>
                <w:bCs/>
                <w:color w:val="000000" w:themeColor="text1"/>
                <w:sz w:val="24"/>
                <w:szCs w:val="24"/>
              </w:rPr>
            </w:pPr>
          </w:p>
        </w:tc>
        <w:tc>
          <w:tcPr>
            <w:tcW w:w="3969" w:type="dxa"/>
          </w:tcPr>
          <w:p w14:paraId="739955EF"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15,000 sqm</w:t>
            </w:r>
          </w:p>
          <w:p w14:paraId="5C8299C0" w14:textId="77777777" w:rsidR="00A92E94" w:rsidRPr="00BA4AA1" w:rsidRDefault="00A92E94" w:rsidP="00BA4AA1">
            <w:pPr>
              <w:rPr>
                <w:rFonts w:ascii="Arial" w:hAnsi="Arial" w:cs="Arial"/>
                <w:b/>
                <w:bCs/>
                <w:color w:val="000000" w:themeColor="text1"/>
                <w:sz w:val="24"/>
                <w:szCs w:val="24"/>
              </w:rPr>
            </w:pPr>
          </w:p>
        </w:tc>
        <w:tc>
          <w:tcPr>
            <w:tcW w:w="3827" w:type="dxa"/>
          </w:tcPr>
          <w:p w14:paraId="19513232" w14:textId="77777777" w:rsidR="00A92E94" w:rsidRPr="005B0C04" w:rsidRDefault="001C0CC5" w:rsidP="005B0C04">
            <w:pPr>
              <w:rPr>
                <w:rFonts w:ascii="Arial" w:hAnsi="Arial" w:cs="Arial"/>
                <w:b/>
                <w:bCs/>
                <w:color w:val="000000" w:themeColor="text1"/>
                <w:sz w:val="24"/>
                <w:szCs w:val="24"/>
              </w:rPr>
            </w:pPr>
            <w:r w:rsidRPr="005B0C04">
              <w:rPr>
                <w:rFonts w:ascii="Arial" w:hAnsi="Arial" w:cs="Arial"/>
                <w:color w:val="000000" w:themeColor="text1"/>
                <w:sz w:val="24"/>
                <w:szCs w:val="24"/>
              </w:rPr>
              <w:t xml:space="preserve">6,231 sqm. </w:t>
            </w:r>
            <w:r w:rsidR="005B0C04">
              <w:rPr>
                <w:rFonts w:ascii="Arial" w:hAnsi="Arial" w:cs="Arial"/>
                <w:color w:val="000000" w:themeColor="text1"/>
                <w:sz w:val="24"/>
                <w:szCs w:val="24"/>
              </w:rPr>
              <w:t xml:space="preserve">This reflects a </w:t>
            </w:r>
            <w:r w:rsidRPr="005B0C04">
              <w:rPr>
                <w:rFonts w:ascii="Arial" w:hAnsi="Arial" w:cs="Arial"/>
                <w:color w:val="000000" w:themeColor="text1"/>
                <w:sz w:val="24"/>
                <w:szCs w:val="24"/>
              </w:rPr>
              <w:t>reduced pipeline of employment creating applications in year 3 and 4 of the Corporate Plan. Also, notable loss of employment space to other uses.</w:t>
            </w:r>
          </w:p>
        </w:tc>
      </w:tr>
      <w:tr w:rsidR="00A92E94" w:rsidRPr="00BA4AA1" w14:paraId="155E7955" w14:textId="77777777" w:rsidTr="0C3F49AC">
        <w:tc>
          <w:tcPr>
            <w:tcW w:w="3823" w:type="dxa"/>
          </w:tcPr>
          <w:p w14:paraId="114615EF"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Number of jobs created or safeguarded</w:t>
            </w:r>
            <w:r w:rsidR="005B0C04">
              <w:rPr>
                <w:rFonts w:ascii="Arial" w:hAnsi="Arial" w:cs="Arial"/>
                <w:color w:val="000000" w:themeColor="text1"/>
                <w:sz w:val="24"/>
                <w:szCs w:val="24"/>
              </w:rPr>
              <w:t xml:space="preserve"> </w:t>
            </w:r>
            <w:r w:rsidRPr="00BA4AA1">
              <w:rPr>
                <w:rFonts w:ascii="Arial" w:hAnsi="Arial" w:cs="Arial"/>
                <w:color w:val="000000" w:themeColor="text1"/>
                <w:sz w:val="24"/>
                <w:szCs w:val="24"/>
              </w:rPr>
              <w:t>in the city as a result of the Council’s</w:t>
            </w:r>
            <w:r w:rsidR="005B0C04">
              <w:rPr>
                <w:rFonts w:ascii="Arial" w:hAnsi="Arial" w:cs="Arial"/>
                <w:color w:val="000000" w:themeColor="text1"/>
                <w:sz w:val="24"/>
                <w:szCs w:val="24"/>
              </w:rPr>
              <w:t xml:space="preserve"> </w:t>
            </w:r>
            <w:r w:rsidRPr="00BA4AA1">
              <w:rPr>
                <w:rFonts w:ascii="Arial" w:hAnsi="Arial" w:cs="Arial"/>
                <w:color w:val="000000" w:themeColor="text1"/>
                <w:sz w:val="24"/>
                <w:szCs w:val="24"/>
              </w:rPr>
              <w:t>investment and leadership</w:t>
            </w:r>
          </w:p>
          <w:p w14:paraId="48C43410" w14:textId="77777777" w:rsidR="00A92E94" w:rsidRPr="00BA4AA1" w:rsidRDefault="00A92E94" w:rsidP="00BA4AA1">
            <w:pPr>
              <w:rPr>
                <w:rFonts w:ascii="Arial" w:hAnsi="Arial" w:cs="Arial"/>
                <w:b/>
                <w:bCs/>
                <w:color w:val="000000" w:themeColor="text1"/>
                <w:sz w:val="24"/>
                <w:szCs w:val="24"/>
              </w:rPr>
            </w:pPr>
          </w:p>
        </w:tc>
        <w:tc>
          <w:tcPr>
            <w:tcW w:w="3969" w:type="dxa"/>
          </w:tcPr>
          <w:p w14:paraId="2A0E132B" w14:textId="77777777" w:rsidR="000C20B7" w:rsidRPr="00056D26" w:rsidRDefault="000C20B7" w:rsidP="00BA4AA1">
            <w:pPr>
              <w:rPr>
                <w:rFonts w:ascii="Arial" w:hAnsi="Arial" w:cs="Arial"/>
                <w:sz w:val="24"/>
                <w:szCs w:val="24"/>
              </w:rPr>
            </w:pPr>
            <w:r w:rsidRPr="00056D26">
              <w:rPr>
                <w:rFonts w:ascii="Arial" w:hAnsi="Arial" w:cs="Arial"/>
                <w:sz w:val="24"/>
                <w:szCs w:val="24"/>
              </w:rPr>
              <w:t>1,250</w:t>
            </w:r>
          </w:p>
          <w:p w14:paraId="79022BCA" w14:textId="77777777" w:rsidR="00A92E94" w:rsidRPr="00BA4AA1" w:rsidRDefault="00A92E94" w:rsidP="00BA4AA1">
            <w:pPr>
              <w:rPr>
                <w:rFonts w:ascii="Arial" w:hAnsi="Arial" w:cs="Arial"/>
                <w:b/>
                <w:bCs/>
                <w:color w:val="000000" w:themeColor="text1"/>
                <w:sz w:val="24"/>
                <w:szCs w:val="24"/>
              </w:rPr>
            </w:pPr>
          </w:p>
        </w:tc>
        <w:tc>
          <w:tcPr>
            <w:tcW w:w="3827" w:type="dxa"/>
          </w:tcPr>
          <w:p w14:paraId="6356D60C" w14:textId="77777777" w:rsidR="00A92E94" w:rsidRPr="005B0C04" w:rsidRDefault="001C0CC5" w:rsidP="001C0CC5">
            <w:pPr>
              <w:rPr>
                <w:rFonts w:ascii="Arial" w:hAnsi="Arial" w:cs="Arial"/>
                <w:b/>
                <w:bCs/>
                <w:color w:val="000000" w:themeColor="text1"/>
                <w:sz w:val="24"/>
                <w:szCs w:val="24"/>
              </w:rPr>
            </w:pPr>
            <w:r w:rsidRPr="005B0C04">
              <w:rPr>
                <w:rFonts w:ascii="Arial" w:hAnsi="Arial" w:cs="Arial"/>
                <w:color w:val="000000" w:themeColor="text1"/>
                <w:sz w:val="24"/>
                <w:szCs w:val="24"/>
              </w:rPr>
              <w:t xml:space="preserve">830, less immediate inward investment and job creation interest, possibly related to Brexit and slowing of economic growth. </w:t>
            </w:r>
          </w:p>
        </w:tc>
      </w:tr>
      <w:tr w:rsidR="00A92E94" w:rsidRPr="00BA4AA1" w14:paraId="3ACEECC9" w14:textId="77777777" w:rsidTr="0C3F49AC">
        <w:tc>
          <w:tcPr>
            <w:tcW w:w="3823" w:type="dxa"/>
          </w:tcPr>
          <w:p w14:paraId="646165BA"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Net annual increase in the number of</w:t>
            </w:r>
            <w:r w:rsidR="005B0C04">
              <w:rPr>
                <w:rFonts w:ascii="Arial" w:hAnsi="Arial" w:cs="Arial"/>
                <w:color w:val="000000" w:themeColor="text1"/>
                <w:sz w:val="24"/>
                <w:szCs w:val="24"/>
              </w:rPr>
              <w:t xml:space="preserve"> </w:t>
            </w:r>
            <w:r w:rsidRPr="00BA4AA1">
              <w:rPr>
                <w:rFonts w:ascii="Arial" w:hAnsi="Arial" w:cs="Arial"/>
                <w:color w:val="000000" w:themeColor="text1"/>
                <w:sz w:val="24"/>
                <w:szCs w:val="24"/>
              </w:rPr>
              <w:t>businesses operating in the city</w:t>
            </w:r>
          </w:p>
          <w:p w14:paraId="07888516" w14:textId="77777777" w:rsidR="00A92E94" w:rsidRPr="00BA4AA1" w:rsidRDefault="00A92E94" w:rsidP="00BA4AA1">
            <w:pPr>
              <w:rPr>
                <w:rFonts w:ascii="Arial" w:hAnsi="Arial" w:cs="Arial"/>
                <w:b/>
                <w:bCs/>
                <w:color w:val="000000" w:themeColor="text1"/>
                <w:sz w:val="24"/>
                <w:szCs w:val="24"/>
              </w:rPr>
            </w:pPr>
          </w:p>
        </w:tc>
        <w:tc>
          <w:tcPr>
            <w:tcW w:w="3969" w:type="dxa"/>
          </w:tcPr>
          <w:p w14:paraId="1B6661C7"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200</w:t>
            </w:r>
          </w:p>
          <w:p w14:paraId="41C1DF64" w14:textId="77777777" w:rsidR="00A92E94" w:rsidRPr="00BA4AA1" w:rsidRDefault="00A92E94" w:rsidP="00BA4AA1">
            <w:pPr>
              <w:rPr>
                <w:rFonts w:ascii="Arial" w:hAnsi="Arial" w:cs="Arial"/>
                <w:b/>
                <w:bCs/>
                <w:color w:val="000000" w:themeColor="text1"/>
                <w:sz w:val="24"/>
                <w:szCs w:val="24"/>
              </w:rPr>
            </w:pPr>
          </w:p>
        </w:tc>
        <w:tc>
          <w:tcPr>
            <w:tcW w:w="3827" w:type="dxa"/>
          </w:tcPr>
          <w:p w14:paraId="45A3DFD6" w14:textId="77777777" w:rsidR="00A92E94" w:rsidRPr="005B0C04" w:rsidRDefault="001C0CC5" w:rsidP="001C0CC5">
            <w:pPr>
              <w:rPr>
                <w:rFonts w:ascii="Arial" w:hAnsi="Arial" w:cs="Arial"/>
                <w:b/>
                <w:bCs/>
                <w:color w:val="000000" w:themeColor="text1"/>
                <w:sz w:val="24"/>
                <w:szCs w:val="24"/>
              </w:rPr>
            </w:pPr>
            <w:r w:rsidRPr="005B0C04">
              <w:rPr>
                <w:rFonts w:ascii="Arial" w:hAnsi="Arial" w:cs="Arial"/>
                <w:color w:val="000000" w:themeColor="text1"/>
                <w:sz w:val="24"/>
                <w:szCs w:val="24"/>
              </w:rPr>
              <w:t xml:space="preserve">100, this figure is from the ONS and represents business growth across the city. </w:t>
            </w:r>
          </w:p>
        </w:tc>
      </w:tr>
    </w:tbl>
    <w:p w14:paraId="2F5E9EE8" w14:textId="77777777" w:rsidR="007B1474" w:rsidRPr="00BA4AA1" w:rsidRDefault="007B1474" w:rsidP="00BA4AA1">
      <w:pPr>
        <w:spacing w:after="0" w:line="240" w:lineRule="auto"/>
        <w:rPr>
          <w:rFonts w:ascii="Arial" w:hAnsi="Arial" w:cs="Arial"/>
          <w:color w:val="000000" w:themeColor="text1"/>
          <w:sz w:val="24"/>
          <w:szCs w:val="24"/>
        </w:rPr>
      </w:pPr>
    </w:p>
    <w:p w14:paraId="5C02F37C" w14:textId="77777777" w:rsidR="007B1474" w:rsidRPr="00BA4AA1" w:rsidRDefault="007B1474" w:rsidP="00BA4AA1">
      <w:pPr>
        <w:spacing w:after="0" w:line="240" w:lineRule="auto"/>
        <w:rPr>
          <w:rFonts w:ascii="Arial" w:hAnsi="Arial" w:cs="Arial"/>
          <w:color w:val="000000" w:themeColor="text1"/>
          <w:sz w:val="24"/>
          <w:szCs w:val="24"/>
        </w:rPr>
      </w:pPr>
      <w:r w:rsidRPr="00BA4AA1">
        <w:rPr>
          <w:rFonts w:ascii="Arial" w:hAnsi="Arial" w:cs="Arial"/>
          <w:color w:val="000000" w:themeColor="text1"/>
          <w:sz w:val="24"/>
          <w:szCs w:val="24"/>
        </w:rPr>
        <w:br w:type="page"/>
      </w:r>
    </w:p>
    <w:p w14:paraId="7843C7A4" w14:textId="77777777" w:rsidR="007B1474" w:rsidRDefault="00A64A76" w:rsidP="00BA4AA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 xml:space="preserve">CORPORATE PRIORITY: </w:t>
      </w:r>
      <w:r w:rsidR="007B1474" w:rsidRPr="00BA4AA1">
        <w:rPr>
          <w:rFonts w:ascii="Arial" w:hAnsi="Arial" w:cs="Arial"/>
          <w:b/>
          <w:color w:val="000000" w:themeColor="text1"/>
          <w:sz w:val="24"/>
          <w:szCs w:val="24"/>
        </w:rPr>
        <w:t>Meeting Housing Needs</w:t>
      </w:r>
    </w:p>
    <w:p w14:paraId="5B4ED87C" w14:textId="77777777" w:rsidR="00A64A76" w:rsidRPr="00BA4AA1" w:rsidRDefault="00A64A76" w:rsidP="00BA4AA1">
      <w:pPr>
        <w:spacing w:after="0" w:line="240" w:lineRule="auto"/>
        <w:rPr>
          <w:rFonts w:ascii="Arial" w:hAnsi="Arial" w:cs="Arial"/>
          <w:b/>
          <w:color w:val="000000" w:themeColor="text1"/>
          <w:sz w:val="24"/>
          <w:szCs w:val="24"/>
        </w:rPr>
      </w:pPr>
    </w:p>
    <w:tbl>
      <w:tblPr>
        <w:tblStyle w:val="TableGrid"/>
        <w:tblW w:w="14992" w:type="dxa"/>
        <w:tblLook w:val="04A0" w:firstRow="1" w:lastRow="0" w:firstColumn="1" w:lastColumn="0" w:noHBand="0" w:noVBand="1"/>
      </w:tblPr>
      <w:tblGrid>
        <w:gridCol w:w="5382"/>
        <w:gridCol w:w="9610"/>
      </w:tblGrid>
      <w:tr w:rsidR="00A92E94" w:rsidRPr="00BA4AA1" w14:paraId="14D7EE84" w14:textId="77777777" w:rsidTr="00A92E94">
        <w:tc>
          <w:tcPr>
            <w:tcW w:w="5382" w:type="dxa"/>
          </w:tcPr>
          <w:p w14:paraId="7AD3FB43" w14:textId="77777777" w:rsidR="00A92E94" w:rsidRPr="00BA4AA1" w:rsidRDefault="00A92E94" w:rsidP="00BA4AA1">
            <w:pPr>
              <w:rPr>
                <w:rFonts w:ascii="Arial" w:hAnsi="Arial" w:cs="Arial"/>
                <w:b/>
                <w:color w:val="000000" w:themeColor="text1"/>
                <w:sz w:val="24"/>
                <w:szCs w:val="24"/>
              </w:rPr>
            </w:pPr>
            <w:r w:rsidRPr="00BA4AA1">
              <w:rPr>
                <w:rFonts w:ascii="Arial" w:hAnsi="Arial" w:cs="Arial"/>
                <w:b/>
                <w:color w:val="000000" w:themeColor="text1"/>
                <w:sz w:val="24"/>
                <w:szCs w:val="24"/>
              </w:rPr>
              <w:t>Areas of Focus 2019–2020</w:t>
            </w:r>
          </w:p>
        </w:tc>
        <w:tc>
          <w:tcPr>
            <w:tcW w:w="9610" w:type="dxa"/>
          </w:tcPr>
          <w:p w14:paraId="315B40F6" w14:textId="77777777" w:rsidR="00A92E94" w:rsidRPr="00BA4AA1" w:rsidRDefault="00A92E94" w:rsidP="00BA4AA1">
            <w:pPr>
              <w:rPr>
                <w:rFonts w:ascii="Arial" w:hAnsi="Arial" w:cs="Arial"/>
                <w:b/>
                <w:color w:val="000000" w:themeColor="text1"/>
                <w:sz w:val="24"/>
                <w:szCs w:val="24"/>
              </w:rPr>
            </w:pPr>
            <w:r w:rsidRPr="00BA4AA1">
              <w:rPr>
                <w:rFonts w:ascii="Arial" w:hAnsi="Arial" w:cs="Arial"/>
                <w:b/>
                <w:color w:val="000000" w:themeColor="text1"/>
                <w:sz w:val="24"/>
                <w:szCs w:val="24"/>
              </w:rPr>
              <w:t>Outcome</w:t>
            </w:r>
          </w:p>
        </w:tc>
      </w:tr>
      <w:tr w:rsidR="00A92E94" w:rsidRPr="00BA4AA1" w14:paraId="35A1201E" w14:textId="77777777" w:rsidTr="00A92E94">
        <w:tc>
          <w:tcPr>
            <w:tcW w:w="5382" w:type="dxa"/>
          </w:tcPr>
          <w:p w14:paraId="3AE60CEE" w14:textId="77777777" w:rsidR="00A92E94" w:rsidRPr="00BA4AA1" w:rsidRDefault="00A92E94" w:rsidP="00BA4AA1">
            <w:pPr>
              <w:rPr>
                <w:rFonts w:ascii="Arial" w:hAnsi="Arial" w:cs="Arial"/>
                <w:b/>
                <w:color w:val="000000" w:themeColor="text1"/>
                <w:sz w:val="24"/>
                <w:szCs w:val="24"/>
              </w:rPr>
            </w:pPr>
            <w:r w:rsidRPr="00BA4AA1">
              <w:rPr>
                <w:rFonts w:ascii="Arial" w:hAnsi="Arial" w:cs="Arial"/>
                <w:color w:val="000000" w:themeColor="text1"/>
                <w:sz w:val="24"/>
                <w:szCs w:val="24"/>
              </w:rPr>
              <w:t>Work through OCHL and with Registered Providers to increase the delivery of affordable housing, including social rented homes, through Growth Deal funding,</w:t>
            </w:r>
            <w:r w:rsidR="00D17063"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with work starting on over 600 units by March 2021.</w:t>
            </w:r>
          </w:p>
        </w:tc>
        <w:tc>
          <w:tcPr>
            <w:tcW w:w="9610" w:type="dxa"/>
          </w:tcPr>
          <w:p w14:paraId="268ACB2C" w14:textId="3C15867D" w:rsidR="00A92E94" w:rsidRPr="00BA4AA1" w:rsidRDefault="00D17063" w:rsidP="00BA4AA1">
            <w:pPr>
              <w:rPr>
                <w:rFonts w:ascii="Arial" w:hAnsi="Arial" w:cs="Arial"/>
                <w:b/>
                <w:bCs/>
                <w:color w:val="000000" w:themeColor="text1"/>
                <w:sz w:val="24"/>
                <w:szCs w:val="24"/>
              </w:rPr>
            </w:pPr>
            <w:r w:rsidRPr="00BA4AA1">
              <w:rPr>
                <w:rFonts w:ascii="Arial" w:eastAsia="Calibri" w:hAnsi="Arial" w:cs="Arial"/>
                <w:color w:val="000000" w:themeColor="text1"/>
                <w:sz w:val="24"/>
                <w:szCs w:val="24"/>
              </w:rPr>
              <w:t>A Strategic</w:t>
            </w:r>
            <w:r w:rsidR="00A92E94" w:rsidRPr="00BA4AA1">
              <w:rPr>
                <w:rFonts w:ascii="Arial" w:eastAsia="Calibri" w:hAnsi="Arial" w:cs="Arial"/>
                <w:color w:val="000000" w:themeColor="text1"/>
                <w:sz w:val="24"/>
                <w:szCs w:val="24"/>
              </w:rPr>
              <w:t xml:space="preserve"> 10 Year Business Plan 2020-29</w:t>
            </w:r>
            <w:r w:rsidRPr="00BA4AA1">
              <w:rPr>
                <w:rFonts w:ascii="Arial" w:eastAsia="Calibri" w:hAnsi="Arial" w:cs="Arial"/>
                <w:color w:val="000000" w:themeColor="text1"/>
                <w:sz w:val="24"/>
                <w:szCs w:val="24"/>
              </w:rPr>
              <w:t xml:space="preserve"> has been approved by Oxford City Housing Ltd (OCHL) shareholders, </w:t>
            </w:r>
            <w:r w:rsidR="00A92E94" w:rsidRPr="00BA4AA1">
              <w:rPr>
                <w:rFonts w:ascii="Arial" w:eastAsia="Calibri" w:hAnsi="Arial" w:cs="Arial"/>
                <w:color w:val="000000" w:themeColor="text1"/>
                <w:sz w:val="24"/>
                <w:szCs w:val="24"/>
              </w:rPr>
              <w:t xml:space="preserve">to deliver 1,891 mixed tenure homes (of which 768 social rent) in Oxford and </w:t>
            </w:r>
            <w:r w:rsidRPr="00BA4AA1">
              <w:rPr>
                <w:rFonts w:ascii="Arial" w:eastAsia="Calibri" w:hAnsi="Arial" w:cs="Arial"/>
                <w:color w:val="000000" w:themeColor="text1"/>
                <w:sz w:val="24"/>
                <w:szCs w:val="24"/>
              </w:rPr>
              <w:t>the wider Growth area</w:t>
            </w:r>
            <w:r w:rsidR="00BD3C3F">
              <w:rPr>
                <w:rFonts w:ascii="Arial" w:eastAsia="Calibri" w:hAnsi="Arial" w:cs="Arial"/>
                <w:color w:val="000000" w:themeColor="text1"/>
                <w:sz w:val="24"/>
                <w:szCs w:val="24"/>
              </w:rPr>
              <w:t xml:space="preserve"> </w:t>
            </w:r>
            <w:r w:rsidR="005B0C04">
              <w:rPr>
                <w:rFonts w:ascii="Arial" w:eastAsia="Calibri" w:hAnsi="Arial" w:cs="Arial"/>
                <w:color w:val="000000" w:themeColor="text1"/>
                <w:sz w:val="24"/>
                <w:szCs w:val="24"/>
              </w:rPr>
              <w:t>(</w:t>
            </w:r>
            <w:r w:rsidR="00BD3C3F">
              <w:rPr>
                <w:rFonts w:ascii="Arial" w:eastAsia="Calibri" w:hAnsi="Arial" w:cs="Arial"/>
                <w:color w:val="000000" w:themeColor="text1"/>
                <w:sz w:val="24"/>
                <w:szCs w:val="24"/>
              </w:rPr>
              <w:t>t</w:t>
            </w:r>
            <w:r w:rsidR="005B0C04">
              <w:rPr>
                <w:rFonts w:ascii="Arial" w:eastAsia="Calibri" w:hAnsi="Arial" w:cs="Arial"/>
                <w:color w:val="000000" w:themeColor="text1"/>
                <w:sz w:val="24"/>
                <w:szCs w:val="24"/>
              </w:rPr>
              <w:t>hough this is being reviewed against the post-COVID situation.)</w:t>
            </w:r>
            <w:r w:rsidRPr="00BA4AA1">
              <w:rPr>
                <w:rFonts w:ascii="Arial" w:eastAsia="Calibri" w:hAnsi="Arial" w:cs="Arial"/>
                <w:color w:val="000000" w:themeColor="text1"/>
                <w:sz w:val="24"/>
                <w:szCs w:val="24"/>
              </w:rPr>
              <w:t xml:space="preserve"> Discussions have also been initiated with Registered Providers and neighbouring District Councils over developing partnerships with OCHL to accelerate housing delivery.</w:t>
            </w:r>
          </w:p>
        </w:tc>
      </w:tr>
      <w:tr w:rsidR="00A92E94" w:rsidRPr="00BA4AA1" w14:paraId="4956804A" w14:textId="77777777" w:rsidTr="00A92E94">
        <w:tc>
          <w:tcPr>
            <w:tcW w:w="5382" w:type="dxa"/>
          </w:tcPr>
          <w:p w14:paraId="0159DD2B"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Continue joint venture working with Grosvenor Developments Ltd to bring forward up to 885 new homes at Barton Park together with a new primary school and</w:t>
            </w:r>
            <w:r w:rsidR="00D17063"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sports facilities.</w:t>
            </w:r>
          </w:p>
        </w:tc>
        <w:tc>
          <w:tcPr>
            <w:tcW w:w="9610" w:type="dxa"/>
          </w:tcPr>
          <w:p w14:paraId="6F866BEC" w14:textId="77777777" w:rsidR="00A92E94" w:rsidRPr="00BA4AA1" w:rsidRDefault="00A92E94"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 xml:space="preserve">The Barton Park development has progressed and delivered 68 affordable homes in total since handover of units started in January 2019. </w:t>
            </w:r>
            <w:r w:rsidR="00D17063" w:rsidRPr="00BA4AA1">
              <w:rPr>
                <w:rFonts w:ascii="Arial" w:eastAsia="Calibri" w:hAnsi="Arial" w:cs="Arial"/>
                <w:color w:val="000000" w:themeColor="text1"/>
                <w:sz w:val="24"/>
                <w:szCs w:val="24"/>
              </w:rPr>
              <w:t xml:space="preserve">Construction of </w:t>
            </w:r>
            <w:r w:rsidRPr="00BA4AA1">
              <w:rPr>
                <w:rFonts w:ascii="Arial" w:eastAsia="Calibri" w:hAnsi="Arial" w:cs="Arial"/>
                <w:color w:val="000000" w:themeColor="text1"/>
                <w:sz w:val="24"/>
                <w:szCs w:val="24"/>
              </w:rPr>
              <w:t xml:space="preserve">Barton Park Primary School </w:t>
            </w:r>
            <w:r w:rsidR="00D17063" w:rsidRPr="00BA4AA1">
              <w:rPr>
                <w:rFonts w:ascii="Arial" w:eastAsia="Calibri" w:hAnsi="Arial" w:cs="Arial"/>
                <w:color w:val="000000" w:themeColor="text1"/>
                <w:sz w:val="24"/>
                <w:szCs w:val="24"/>
              </w:rPr>
              <w:t xml:space="preserve">is ongoing, and it </w:t>
            </w:r>
            <w:r w:rsidRPr="00BA4AA1">
              <w:rPr>
                <w:rFonts w:ascii="Arial" w:eastAsia="Calibri" w:hAnsi="Arial" w:cs="Arial"/>
                <w:color w:val="000000" w:themeColor="text1"/>
                <w:sz w:val="24"/>
                <w:szCs w:val="24"/>
              </w:rPr>
              <w:t>will open in September 2020.</w:t>
            </w:r>
          </w:p>
          <w:p w14:paraId="12E72A82" w14:textId="77777777" w:rsidR="00A92E94" w:rsidRPr="00BA4AA1" w:rsidRDefault="00A92E94" w:rsidP="00BA4AA1">
            <w:pPr>
              <w:rPr>
                <w:rFonts w:ascii="Arial" w:hAnsi="Arial" w:cs="Arial"/>
                <w:color w:val="000000" w:themeColor="text1"/>
                <w:sz w:val="24"/>
                <w:szCs w:val="24"/>
              </w:rPr>
            </w:pPr>
          </w:p>
        </w:tc>
      </w:tr>
      <w:tr w:rsidR="00A92E94" w:rsidRPr="00BA4AA1" w14:paraId="4F47394A" w14:textId="77777777" w:rsidTr="00A92E94">
        <w:tc>
          <w:tcPr>
            <w:tcW w:w="5382" w:type="dxa"/>
          </w:tcPr>
          <w:p w14:paraId="1684602A"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Complete the development of a 37-bedroom</w:t>
            </w:r>
            <w:r w:rsidR="00D17063"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supported housing scheme in Cowley.</w:t>
            </w:r>
          </w:p>
        </w:tc>
        <w:tc>
          <w:tcPr>
            <w:tcW w:w="9610" w:type="dxa"/>
          </w:tcPr>
          <w:p w14:paraId="6F69F775"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Matilda House, which provides 22 units of supported accommodation for people with complex needs and 15 units of</w:t>
            </w:r>
            <w:r w:rsidR="00D17063"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Move On accommodation, opened in September 2019.</w:t>
            </w:r>
          </w:p>
        </w:tc>
      </w:tr>
      <w:tr w:rsidR="00A92E94" w:rsidRPr="00BA4AA1" w14:paraId="0F366A1B" w14:textId="77777777" w:rsidTr="00A92E94">
        <w:tc>
          <w:tcPr>
            <w:tcW w:w="5382" w:type="dxa"/>
          </w:tcPr>
          <w:p w14:paraId="7A6DBA66"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Continue our Trailblazer programme by securing additional appropriate accommodation and early intervention support for households who are homeless or</w:t>
            </w:r>
            <w:r w:rsidR="00D17063"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at risk of homelessness.</w:t>
            </w:r>
          </w:p>
        </w:tc>
        <w:tc>
          <w:tcPr>
            <w:tcW w:w="9610" w:type="dxa"/>
          </w:tcPr>
          <w:p w14:paraId="5E94D82F" w14:textId="77777777" w:rsidR="00A92E94" w:rsidRPr="00BA4AA1" w:rsidRDefault="00A92E94"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The Oxfordshire Homelessness Prevention Trailblazer Programme ended in October 2019. Successful aspects of the programme have continued</w:t>
            </w:r>
            <w:r w:rsidR="00323A94" w:rsidRPr="00BA4AA1">
              <w:rPr>
                <w:rFonts w:ascii="Arial" w:eastAsia="Calibri" w:hAnsi="Arial" w:cs="Arial"/>
                <w:color w:val="000000" w:themeColor="text1"/>
                <w:sz w:val="24"/>
                <w:szCs w:val="24"/>
              </w:rPr>
              <w:t>, with the ethos and learning approach developed now applied across the Council’s Housing Needs service.</w:t>
            </w:r>
            <w:r w:rsidRPr="00BA4AA1">
              <w:rPr>
                <w:rFonts w:ascii="Arial" w:eastAsia="Calibri" w:hAnsi="Arial" w:cs="Arial"/>
                <w:color w:val="000000" w:themeColor="text1"/>
                <w:sz w:val="24"/>
                <w:szCs w:val="24"/>
              </w:rPr>
              <w:t xml:space="preserve"> Aspire ha</w:t>
            </w:r>
            <w:r w:rsidR="00323A94" w:rsidRPr="00BA4AA1">
              <w:rPr>
                <w:rFonts w:ascii="Arial" w:eastAsia="Calibri" w:hAnsi="Arial" w:cs="Arial"/>
                <w:color w:val="000000" w:themeColor="text1"/>
                <w:sz w:val="24"/>
                <w:szCs w:val="24"/>
              </w:rPr>
              <w:t>s</w:t>
            </w:r>
            <w:r w:rsidRPr="00BA4AA1">
              <w:rPr>
                <w:rFonts w:ascii="Arial" w:eastAsia="Calibri" w:hAnsi="Arial" w:cs="Arial"/>
                <w:color w:val="000000" w:themeColor="text1"/>
                <w:sz w:val="24"/>
                <w:szCs w:val="24"/>
              </w:rPr>
              <w:t xml:space="preserve"> raised funding to continue the </w:t>
            </w:r>
            <w:r w:rsidR="00323A94" w:rsidRPr="00BA4AA1">
              <w:rPr>
                <w:rFonts w:ascii="Arial" w:eastAsia="Calibri" w:hAnsi="Arial" w:cs="Arial"/>
                <w:color w:val="000000" w:themeColor="text1"/>
                <w:sz w:val="24"/>
                <w:szCs w:val="24"/>
              </w:rPr>
              <w:t>c</w:t>
            </w:r>
            <w:r w:rsidRPr="00BA4AA1">
              <w:rPr>
                <w:rFonts w:ascii="Arial" w:eastAsia="Calibri" w:hAnsi="Arial" w:cs="Arial"/>
                <w:color w:val="000000" w:themeColor="text1"/>
                <w:sz w:val="24"/>
                <w:szCs w:val="24"/>
              </w:rPr>
              <w:t xml:space="preserve">ommunity </w:t>
            </w:r>
            <w:r w:rsidR="00323A94" w:rsidRPr="00BA4AA1">
              <w:rPr>
                <w:rFonts w:ascii="Arial" w:eastAsia="Calibri" w:hAnsi="Arial" w:cs="Arial"/>
                <w:color w:val="000000" w:themeColor="text1"/>
                <w:sz w:val="24"/>
                <w:szCs w:val="24"/>
              </w:rPr>
              <w:t>n</w:t>
            </w:r>
            <w:r w:rsidRPr="00BA4AA1">
              <w:rPr>
                <w:rFonts w:ascii="Arial" w:eastAsia="Calibri" w:hAnsi="Arial" w:cs="Arial"/>
                <w:color w:val="000000" w:themeColor="text1"/>
                <w:sz w:val="24"/>
                <w:szCs w:val="24"/>
              </w:rPr>
              <w:t>avigator se</w:t>
            </w:r>
            <w:r w:rsidR="00323A94" w:rsidRPr="00BA4AA1">
              <w:rPr>
                <w:rFonts w:ascii="Arial" w:eastAsia="Calibri" w:hAnsi="Arial" w:cs="Arial"/>
                <w:color w:val="000000" w:themeColor="text1"/>
                <w:sz w:val="24"/>
                <w:szCs w:val="24"/>
              </w:rPr>
              <w:t>rvice for a further three years; t</w:t>
            </w:r>
            <w:r w:rsidRPr="00BA4AA1">
              <w:rPr>
                <w:rFonts w:ascii="Arial" w:eastAsia="Calibri" w:hAnsi="Arial" w:cs="Arial"/>
                <w:color w:val="000000" w:themeColor="text1"/>
                <w:sz w:val="24"/>
                <w:szCs w:val="24"/>
              </w:rPr>
              <w:t>he embedded workers in Health have been funded until the e</w:t>
            </w:r>
            <w:r w:rsidR="00323A94" w:rsidRPr="00BA4AA1">
              <w:rPr>
                <w:rFonts w:ascii="Arial" w:eastAsia="Calibri" w:hAnsi="Arial" w:cs="Arial"/>
                <w:color w:val="000000" w:themeColor="text1"/>
                <w:sz w:val="24"/>
                <w:szCs w:val="24"/>
              </w:rPr>
              <w:t>nd of March 2020 initially; a housing worker from the Council</w:t>
            </w:r>
            <w:r w:rsidRPr="00BA4AA1">
              <w:rPr>
                <w:rFonts w:ascii="Arial" w:eastAsia="Calibri" w:hAnsi="Arial" w:cs="Arial"/>
                <w:color w:val="000000" w:themeColor="text1"/>
                <w:sz w:val="24"/>
                <w:szCs w:val="24"/>
              </w:rPr>
              <w:t>’s Options tea</w:t>
            </w:r>
            <w:r w:rsidR="00323A94" w:rsidRPr="00BA4AA1">
              <w:rPr>
                <w:rFonts w:ascii="Arial" w:eastAsia="Calibri" w:hAnsi="Arial" w:cs="Arial"/>
                <w:color w:val="000000" w:themeColor="text1"/>
                <w:sz w:val="24"/>
                <w:szCs w:val="24"/>
              </w:rPr>
              <w:t>m is embedded at HMP Bullingdon; and t</w:t>
            </w:r>
            <w:r w:rsidRPr="00BA4AA1">
              <w:rPr>
                <w:rFonts w:ascii="Arial" w:eastAsia="Calibri" w:hAnsi="Arial" w:cs="Arial"/>
                <w:color w:val="000000" w:themeColor="text1"/>
                <w:sz w:val="24"/>
                <w:szCs w:val="24"/>
              </w:rPr>
              <w:t>he Homelessness Prevention Champions Network will continue to run as a legacy of the programme and supported by the District</w:t>
            </w:r>
            <w:r w:rsidR="00323A94" w:rsidRPr="00BA4AA1">
              <w:rPr>
                <w:rFonts w:ascii="Arial" w:eastAsia="Calibri" w:hAnsi="Arial" w:cs="Arial"/>
                <w:color w:val="000000" w:themeColor="text1"/>
                <w:sz w:val="24"/>
                <w:szCs w:val="24"/>
              </w:rPr>
              <w:t xml:space="preserve"> Council</w:t>
            </w:r>
            <w:r w:rsidRPr="00BA4AA1">
              <w:rPr>
                <w:rFonts w:ascii="Arial" w:eastAsia="Calibri" w:hAnsi="Arial" w:cs="Arial"/>
                <w:color w:val="000000" w:themeColor="text1"/>
                <w:sz w:val="24"/>
                <w:szCs w:val="24"/>
              </w:rPr>
              <w:t xml:space="preserve">s. </w:t>
            </w:r>
          </w:p>
        </w:tc>
      </w:tr>
      <w:tr w:rsidR="00A92E94" w:rsidRPr="00BA4AA1" w14:paraId="6C28FFDB" w14:textId="77777777" w:rsidTr="00A92E94">
        <w:tc>
          <w:tcPr>
            <w:tcW w:w="5382" w:type="dxa"/>
          </w:tcPr>
          <w:p w14:paraId="359137EB"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Increase homelessness budget by</w:t>
            </w:r>
            <w:r w:rsidR="00323A94"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 xml:space="preserve">200,000 to </w:t>
            </w:r>
            <w:r w:rsidR="00323A94" w:rsidRPr="00BA4AA1">
              <w:rPr>
                <w:rFonts w:ascii="Arial" w:hAnsi="Arial" w:cs="Arial"/>
                <w:color w:val="000000" w:themeColor="text1"/>
                <w:sz w:val="24"/>
                <w:szCs w:val="24"/>
              </w:rPr>
              <w:t>£</w:t>
            </w:r>
            <w:r w:rsidRPr="00BA4AA1">
              <w:rPr>
                <w:rFonts w:ascii="Arial" w:hAnsi="Arial" w:cs="Arial"/>
                <w:color w:val="000000" w:themeColor="text1"/>
                <w:sz w:val="24"/>
                <w:szCs w:val="24"/>
              </w:rPr>
              <w:t>1.7 million a year for services for homeless people, and make leisure services available for free to homeless pathway clients.</w:t>
            </w:r>
          </w:p>
        </w:tc>
        <w:tc>
          <w:tcPr>
            <w:tcW w:w="9610" w:type="dxa"/>
          </w:tcPr>
          <w:p w14:paraId="1F1B0F5C" w14:textId="20D54DD1" w:rsidR="00A92E94" w:rsidRPr="00BA4AA1" w:rsidRDefault="00A92E94" w:rsidP="00BD3C3F">
            <w:pPr>
              <w:rPr>
                <w:rFonts w:ascii="Arial" w:hAnsi="Arial" w:cs="Arial"/>
                <w:color w:val="000000" w:themeColor="text1"/>
                <w:sz w:val="24"/>
                <w:szCs w:val="24"/>
              </w:rPr>
            </w:pPr>
            <w:r w:rsidRPr="00BA4AA1">
              <w:rPr>
                <w:rFonts w:ascii="Arial" w:eastAsia="Calibri" w:hAnsi="Arial" w:cs="Arial"/>
                <w:color w:val="000000" w:themeColor="text1"/>
                <w:sz w:val="24"/>
                <w:szCs w:val="24"/>
              </w:rPr>
              <w:t xml:space="preserve">A total of £1,744,197 was allocated for the delivery of services and support for rough sleepers and single homeless people in 2019/20. A scheme for homeless pathway clients to apply for free leisure services </w:t>
            </w:r>
            <w:r w:rsidR="00BD3C3F">
              <w:rPr>
                <w:rFonts w:ascii="Arial" w:eastAsia="Calibri" w:hAnsi="Arial" w:cs="Arial"/>
                <w:color w:val="000000" w:themeColor="text1"/>
                <w:sz w:val="24"/>
                <w:szCs w:val="24"/>
              </w:rPr>
              <w:t>was</w:t>
            </w:r>
            <w:r w:rsidRPr="00BA4AA1">
              <w:rPr>
                <w:rFonts w:ascii="Arial" w:eastAsia="Calibri" w:hAnsi="Arial" w:cs="Arial"/>
                <w:color w:val="000000" w:themeColor="text1"/>
                <w:sz w:val="24"/>
                <w:szCs w:val="24"/>
              </w:rPr>
              <w:t xml:space="preserve"> in operation</w:t>
            </w:r>
            <w:r w:rsidR="00BD3C3F">
              <w:rPr>
                <w:rFonts w:ascii="Arial" w:eastAsia="Calibri" w:hAnsi="Arial" w:cs="Arial"/>
                <w:color w:val="000000" w:themeColor="text1"/>
                <w:sz w:val="24"/>
                <w:szCs w:val="24"/>
              </w:rPr>
              <w:t xml:space="preserve"> before the COVID lockdown</w:t>
            </w:r>
            <w:r w:rsidRPr="00BA4AA1">
              <w:rPr>
                <w:rFonts w:ascii="Arial" w:eastAsia="Calibri" w:hAnsi="Arial" w:cs="Arial"/>
                <w:color w:val="000000" w:themeColor="text1"/>
                <w:sz w:val="24"/>
                <w:szCs w:val="24"/>
              </w:rPr>
              <w:t>.</w:t>
            </w:r>
          </w:p>
        </w:tc>
      </w:tr>
      <w:tr w:rsidR="00A92E94" w:rsidRPr="00BA4AA1" w14:paraId="2F79363A" w14:textId="77777777" w:rsidTr="00A92E94">
        <w:tc>
          <w:tcPr>
            <w:tcW w:w="5382" w:type="dxa"/>
          </w:tcPr>
          <w:p w14:paraId="7BEC60AD"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Provide further support to achieve our aim that no one needs to sleep rough on our streets, including more winter provision and continuing our active role in the citywide partnership to tackle rough sleeping.</w:t>
            </w:r>
          </w:p>
        </w:tc>
        <w:tc>
          <w:tcPr>
            <w:tcW w:w="9610" w:type="dxa"/>
          </w:tcPr>
          <w:p w14:paraId="3645D13F" w14:textId="77777777" w:rsidR="00A92E94" w:rsidRPr="00BA4AA1" w:rsidRDefault="00323A94"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Oxford City</w:t>
            </w:r>
            <w:r w:rsidR="00A92E94" w:rsidRPr="00BA4AA1">
              <w:rPr>
                <w:rFonts w:ascii="Arial" w:eastAsia="Calibri" w:hAnsi="Arial" w:cs="Arial"/>
                <w:color w:val="000000" w:themeColor="text1"/>
                <w:sz w:val="24"/>
                <w:szCs w:val="24"/>
              </w:rPr>
              <w:t xml:space="preserve"> Council has been successful in securing approximately £2M for 2018/19 and 2019/20 in funding from the government’s Rough Sleeping Initiative (RSI) and Rapid Rehousing Pathway (RRP) schemes to develop and expand services in the City, including a multi-agency service hub, additional capacity for the City’s outreach team and 41 units of accommodation, Navigator Posts to support long term rough sleepers </w:t>
            </w:r>
            <w:r w:rsidR="00A92E94" w:rsidRPr="00BA4AA1">
              <w:rPr>
                <w:rFonts w:ascii="Arial" w:eastAsia="Calibri" w:hAnsi="Arial" w:cs="Arial"/>
                <w:color w:val="000000" w:themeColor="text1"/>
                <w:sz w:val="24"/>
                <w:szCs w:val="24"/>
              </w:rPr>
              <w:lastRenderedPageBreak/>
              <w:t xml:space="preserve">and a new Engagement and Assessment Centre at Floyds Row. </w:t>
            </w:r>
            <w:r w:rsidRPr="00BA4AA1">
              <w:rPr>
                <w:rFonts w:ascii="Arial" w:eastAsia="Calibri" w:hAnsi="Arial" w:cs="Arial"/>
                <w:color w:val="000000" w:themeColor="text1"/>
                <w:sz w:val="24"/>
                <w:szCs w:val="24"/>
              </w:rPr>
              <w:t xml:space="preserve">The annual intelligent-based estimate carried out in November, saw a 34% reduction in the number of rough sleepers in Oxford compared to last year. </w:t>
            </w:r>
            <w:r w:rsidR="00A92E94" w:rsidRPr="00BA4AA1">
              <w:rPr>
                <w:rFonts w:ascii="Arial" w:eastAsia="Calibri" w:hAnsi="Arial" w:cs="Arial"/>
                <w:color w:val="000000" w:themeColor="text1"/>
                <w:sz w:val="24"/>
                <w:szCs w:val="24"/>
              </w:rPr>
              <w:t xml:space="preserve">The Council </w:t>
            </w:r>
            <w:r w:rsidRPr="00BA4AA1">
              <w:rPr>
                <w:rFonts w:ascii="Arial" w:eastAsia="Calibri" w:hAnsi="Arial" w:cs="Arial"/>
                <w:color w:val="000000" w:themeColor="text1"/>
                <w:sz w:val="24"/>
                <w:szCs w:val="24"/>
              </w:rPr>
              <w:t xml:space="preserve">is </w:t>
            </w:r>
            <w:r w:rsidR="00A92E94" w:rsidRPr="00BA4AA1">
              <w:rPr>
                <w:rFonts w:ascii="Arial" w:eastAsia="Calibri" w:hAnsi="Arial" w:cs="Arial"/>
                <w:color w:val="000000" w:themeColor="text1"/>
                <w:sz w:val="24"/>
                <w:szCs w:val="24"/>
              </w:rPr>
              <w:t>working closely with the County, Distr</w:t>
            </w:r>
            <w:r w:rsidRPr="00BA4AA1">
              <w:rPr>
                <w:rFonts w:ascii="Arial" w:eastAsia="Calibri" w:hAnsi="Arial" w:cs="Arial"/>
                <w:color w:val="000000" w:themeColor="text1"/>
                <w:sz w:val="24"/>
                <w:szCs w:val="24"/>
              </w:rPr>
              <w:t>icts and the appointed c</w:t>
            </w:r>
            <w:r w:rsidR="00A92E94" w:rsidRPr="00BA4AA1">
              <w:rPr>
                <w:rFonts w:ascii="Arial" w:eastAsia="Calibri" w:hAnsi="Arial" w:cs="Arial"/>
                <w:color w:val="000000" w:themeColor="text1"/>
                <w:sz w:val="24"/>
                <w:szCs w:val="24"/>
              </w:rPr>
              <w:t xml:space="preserve">ountywide rough sleeping lead to develop a </w:t>
            </w:r>
            <w:r w:rsidRPr="00BA4AA1">
              <w:rPr>
                <w:rFonts w:ascii="Arial" w:eastAsia="Calibri" w:hAnsi="Arial" w:cs="Arial"/>
                <w:color w:val="000000" w:themeColor="text1"/>
                <w:sz w:val="24"/>
                <w:szCs w:val="24"/>
              </w:rPr>
              <w:t>c</w:t>
            </w:r>
            <w:r w:rsidR="00A92E94" w:rsidRPr="00BA4AA1">
              <w:rPr>
                <w:rFonts w:ascii="Arial" w:eastAsia="Calibri" w:hAnsi="Arial" w:cs="Arial"/>
                <w:color w:val="000000" w:themeColor="text1"/>
                <w:sz w:val="24"/>
                <w:szCs w:val="24"/>
              </w:rPr>
              <w:t xml:space="preserve">ountywide strategy to prevention and tackling rough sleeping. </w:t>
            </w:r>
          </w:p>
        </w:tc>
      </w:tr>
      <w:tr w:rsidR="00A92E94" w:rsidRPr="00BA4AA1" w14:paraId="5B6C5E2D" w14:textId="77777777" w:rsidTr="00A92E94">
        <w:tc>
          <w:tcPr>
            <w:tcW w:w="5382" w:type="dxa"/>
          </w:tcPr>
          <w:p w14:paraId="58222ED4"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Continue enforcement against rogue landlords, utilising new legal powers to improve the management of the private rented sector and to protect and improve</w:t>
            </w:r>
            <w:r w:rsidR="00DA3B53"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tenants’ lives.</w:t>
            </w:r>
          </w:p>
        </w:tc>
        <w:tc>
          <w:tcPr>
            <w:tcW w:w="9610" w:type="dxa"/>
          </w:tcPr>
          <w:p w14:paraId="326B5A1A"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 xml:space="preserve">15 Financial penalties were served totalling £98,389 using the new powers. In addition 448 statutory notices were served on landlords as part of the enforcement action taken to secure improvements to the </w:t>
            </w:r>
            <w:r w:rsidR="00DA3B53" w:rsidRPr="00BA4AA1">
              <w:rPr>
                <w:rFonts w:ascii="Arial" w:hAnsi="Arial" w:cs="Arial"/>
                <w:color w:val="000000" w:themeColor="text1"/>
                <w:sz w:val="24"/>
                <w:szCs w:val="24"/>
              </w:rPr>
              <w:t>private rented sector.</w:t>
            </w:r>
            <w:r w:rsidRPr="00BA4AA1">
              <w:rPr>
                <w:rFonts w:ascii="Arial" w:hAnsi="Arial" w:cs="Arial"/>
                <w:color w:val="000000" w:themeColor="text1"/>
                <w:sz w:val="24"/>
                <w:szCs w:val="24"/>
              </w:rPr>
              <w:t xml:space="preserve"> </w:t>
            </w:r>
          </w:p>
        </w:tc>
      </w:tr>
      <w:tr w:rsidR="00A92E94" w:rsidRPr="00BA4AA1" w14:paraId="70DAA333" w14:textId="77777777" w:rsidTr="00A92E94">
        <w:tc>
          <w:tcPr>
            <w:tcW w:w="5382" w:type="dxa"/>
          </w:tcPr>
          <w:p w14:paraId="6765D02B"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Renew the Private Sector Housing Policy to reflect the impact of the Additional Licensing Scheme for HMOs, and consider whether further property licensing would provide the step change in standards that is needed to</w:t>
            </w:r>
          </w:p>
          <w:p w14:paraId="47EFEA12"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improve tenants’ lives</w:t>
            </w:r>
            <w:r w:rsidR="00DA3B53" w:rsidRPr="00BA4AA1">
              <w:rPr>
                <w:rFonts w:ascii="Arial" w:hAnsi="Arial" w:cs="Arial"/>
                <w:color w:val="000000" w:themeColor="text1"/>
                <w:sz w:val="24"/>
                <w:szCs w:val="24"/>
              </w:rPr>
              <w:t>.</w:t>
            </w:r>
          </w:p>
        </w:tc>
        <w:tc>
          <w:tcPr>
            <w:tcW w:w="9610" w:type="dxa"/>
          </w:tcPr>
          <w:p w14:paraId="59F39652" w14:textId="77777777" w:rsidR="00A92E94" w:rsidRPr="00BA4AA1" w:rsidRDefault="00DA3B53" w:rsidP="00BA4AA1">
            <w:pPr>
              <w:rPr>
                <w:rFonts w:ascii="Arial" w:hAnsi="Arial" w:cs="Arial"/>
                <w:iCs/>
                <w:color w:val="000000" w:themeColor="text1"/>
                <w:sz w:val="24"/>
                <w:szCs w:val="24"/>
                <w:highlight w:val="yellow"/>
              </w:rPr>
            </w:pPr>
            <w:r w:rsidRPr="00BA4AA1">
              <w:rPr>
                <w:rFonts w:ascii="Arial" w:hAnsi="Arial" w:cs="Arial"/>
                <w:iCs/>
                <w:color w:val="000000" w:themeColor="text1"/>
                <w:sz w:val="24"/>
                <w:szCs w:val="24"/>
              </w:rPr>
              <w:t xml:space="preserve">Work is </w:t>
            </w:r>
            <w:r w:rsidR="00A92E94" w:rsidRPr="00BA4AA1">
              <w:rPr>
                <w:rFonts w:ascii="Arial" w:hAnsi="Arial" w:cs="Arial"/>
                <w:iCs/>
                <w:color w:val="000000" w:themeColor="text1"/>
                <w:sz w:val="24"/>
                <w:szCs w:val="24"/>
              </w:rPr>
              <w:t xml:space="preserve">underway to engage with a wide range of stakeholders on a new draft Private Sector Housing Policy including consideration of potential impacts of increasing standards on cost of rent.  </w:t>
            </w:r>
          </w:p>
        </w:tc>
      </w:tr>
      <w:tr w:rsidR="00A92E94" w:rsidRPr="00BA4AA1" w14:paraId="61B09FDF" w14:textId="77777777" w:rsidTr="00A92E94">
        <w:tc>
          <w:tcPr>
            <w:tcW w:w="5382" w:type="dxa"/>
          </w:tcPr>
          <w:p w14:paraId="0EB3CC73" w14:textId="77777777" w:rsidR="00A92E94" w:rsidRPr="00BA4AA1" w:rsidRDefault="00A92E94" w:rsidP="00BA4AA1">
            <w:pPr>
              <w:rPr>
                <w:rFonts w:ascii="Arial" w:hAnsi="Arial" w:cs="Arial"/>
                <w:color w:val="000000" w:themeColor="text1"/>
                <w:sz w:val="24"/>
                <w:szCs w:val="24"/>
              </w:rPr>
            </w:pPr>
            <w:r w:rsidRPr="00BA4AA1">
              <w:rPr>
                <w:rFonts w:ascii="Arial" w:hAnsi="Arial" w:cs="Arial"/>
                <w:color w:val="000000" w:themeColor="text1"/>
                <w:sz w:val="24"/>
                <w:szCs w:val="24"/>
              </w:rPr>
              <w:t>Implement Premium Council Tax of 100 per cent additional tax for properties that have been empty for more than two years with effect from 1 April 2019 to encourage more empty properties back into use</w:t>
            </w:r>
            <w:r w:rsidR="00DA3B53" w:rsidRPr="00BA4AA1">
              <w:rPr>
                <w:rFonts w:ascii="Arial" w:hAnsi="Arial" w:cs="Arial"/>
                <w:color w:val="000000" w:themeColor="text1"/>
                <w:sz w:val="24"/>
                <w:szCs w:val="24"/>
              </w:rPr>
              <w:t>.</w:t>
            </w:r>
          </w:p>
        </w:tc>
        <w:tc>
          <w:tcPr>
            <w:tcW w:w="9610" w:type="dxa"/>
          </w:tcPr>
          <w:p w14:paraId="22B70111" w14:textId="77777777" w:rsidR="00A92E94" w:rsidRPr="00BA4AA1" w:rsidRDefault="00A92E94"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 xml:space="preserve">This was implemented on </w:t>
            </w:r>
            <w:r w:rsidR="00DA3B53" w:rsidRPr="00BA4AA1">
              <w:rPr>
                <w:rFonts w:ascii="Arial" w:eastAsia="Calibri" w:hAnsi="Arial" w:cs="Arial"/>
                <w:color w:val="000000" w:themeColor="text1"/>
                <w:sz w:val="24"/>
                <w:szCs w:val="24"/>
              </w:rPr>
              <w:t>1 April 2019</w:t>
            </w:r>
            <w:r w:rsidRPr="00BA4AA1">
              <w:rPr>
                <w:rFonts w:ascii="Arial" w:eastAsia="Calibri" w:hAnsi="Arial" w:cs="Arial"/>
                <w:color w:val="000000" w:themeColor="text1"/>
                <w:sz w:val="24"/>
                <w:szCs w:val="24"/>
              </w:rPr>
              <w:t xml:space="preserve">. </w:t>
            </w:r>
            <w:r w:rsidRPr="00BA4AA1">
              <w:rPr>
                <w:rFonts w:ascii="Arial" w:eastAsia="Calibri" w:hAnsi="Arial" w:cs="Arial"/>
                <w:color w:val="000000" w:themeColor="text1"/>
                <w:sz w:val="24"/>
                <w:szCs w:val="24"/>
                <w:lang w:val="en"/>
              </w:rPr>
              <w:t xml:space="preserve">The government has also introduced an amendment </w:t>
            </w:r>
            <w:r w:rsidR="00DA3B53" w:rsidRPr="00BA4AA1">
              <w:rPr>
                <w:rFonts w:ascii="Arial" w:eastAsia="Calibri" w:hAnsi="Arial" w:cs="Arial"/>
                <w:color w:val="000000" w:themeColor="text1"/>
                <w:sz w:val="24"/>
                <w:szCs w:val="24"/>
                <w:lang w:val="en"/>
              </w:rPr>
              <w:t xml:space="preserve">to councils’ powers, which means that from April 2021 we will introduce a </w:t>
            </w:r>
            <w:r w:rsidRPr="00BA4AA1">
              <w:rPr>
                <w:rFonts w:ascii="Arial" w:eastAsia="Calibri" w:hAnsi="Arial" w:cs="Arial"/>
                <w:color w:val="000000" w:themeColor="text1"/>
                <w:sz w:val="24"/>
                <w:szCs w:val="24"/>
                <w:lang w:val="en"/>
              </w:rPr>
              <w:t xml:space="preserve">charge </w:t>
            </w:r>
            <w:r w:rsidR="00DA3B53" w:rsidRPr="00BA4AA1">
              <w:rPr>
                <w:rFonts w:ascii="Arial" w:eastAsia="Calibri" w:hAnsi="Arial" w:cs="Arial"/>
                <w:color w:val="000000" w:themeColor="text1"/>
                <w:sz w:val="24"/>
                <w:szCs w:val="24"/>
                <w:lang w:val="en"/>
              </w:rPr>
              <w:t xml:space="preserve">of </w:t>
            </w:r>
            <w:r w:rsidRPr="00BA4AA1">
              <w:rPr>
                <w:rFonts w:ascii="Arial" w:eastAsia="Calibri" w:hAnsi="Arial" w:cs="Arial"/>
                <w:color w:val="000000" w:themeColor="text1"/>
                <w:sz w:val="24"/>
                <w:szCs w:val="24"/>
                <w:lang w:val="en"/>
              </w:rPr>
              <w:t>200% co</w:t>
            </w:r>
            <w:r w:rsidR="00DA3B53" w:rsidRPr="00BA4AA1">
              <w:rPr>
                <w:rFonts w:ascii="Arial" w:eastAsia="Calibri" w:hAnsi="Arial" w:cs="Arial"/>
                <w:color w:val="000000" w:themeColor="text1"/>
                <w:sz w:val="24"/>
                <w:szCs w:val="24"/>
                <w:lang w:val="en"/>
              </w:rPr>
              <w:t xml:space="preserve">uncil tax for properties empty between </w:t>
            </w:r>
            <w:r w:rsidRPr="00BA4AA1">
              <w:rPr>
                <w:rFonts w:ascii="Arial" w:eastAsia="Calibri" w:hAnsi="Arial" w:cs="Arial"/>
                <w:color w:val="000000" w:themeColor="text1"/>
                <w:sz w:val="24"/>
                <w:szCs w:val="24"/>
                <w:lang w:val="en"/>
              </w:rPr>
              <w:t xml:space="preserve">5-10 years, and 300% </w:t>
            </w:r>
            <w:r w:rsidR="00DA3B53" w:rsidRPr="00BA4AA1">
              <w:rPr>
                <w:rFonts w:ascii="Arial" w:eastAsia="Calibri" w:hAnsi="Arial" w:cs="Arial"/>
                <w:color w:val="000000" w:themeColor="text1"/>
                <w:sz w:val="24"/>
                <w:szCs w:val="24"/>
                <w:lang w:val="en"/>
              </w:rPr>
              <w:t>for properties empty over 10 years.</w:t>
            </w:r>
          </w:p>
        </w:tc>
      </w:tr>
    </w:tbl>
    <w:p w14:paraId="4FF21EC7" w14:textId="77777777" w:rsidR="007B1474" w:rsidRPr="00BA4AA1" w:rsidRDefault="007B1474" w:rsidP="00BA4AA1">
      <w:pPr>
        <w:spacing w:after="0" w:line="240" w:lineRule="auto"/>
        <w:rPr>
          <w:rFonts w:ascii="Arial" w:hAnsi="Arial" w:cs="Arial"/>
          <w:color w:val="000000" w:themeColor="text1"/>
          <w:sz w:val="24"/>
          <w:szCs w:val="24"/>
        </w:rPr>
      </w:pPr>
    </w:p>
    <w:p w14:paraId="1693A04C" w14:textId="77777777" w:rsidR="007B1474" w:rsidRPr="00BA4AA1" w:rsidRDefault="007B1474" w:rsidP="00BA4AA1">
      <w:pPr>
        <w:spacing w:after="0" w:line="240" w:lineRule="auto"/>
        <w:rPr>
          <w:rFonts w:ascii="Arial" w:hAnsi="Arial" w:cs="Arial"/>
          <w:b/>
          <w:bCs/>
          <w:color w:val="000000" w:themeColor="text1"/>
          <w:sz w:val="24"/>
          <w:szCs w:val="24"/>
        </w:rPr>
      </w:pPr>
    </w:p>
    <w:p w14:paraId="38793B95" w14:textId="77777777" w:rsidR="007B1474" w:rsidRPr="00BA4AA1" w:rsidRDefault="007B1474" w:rsidP="00BA4AA1">
      <w:pPr>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4106"/>
        <w:gridCol w:w="3969"/>
        <w:gridCol w:w="3544"/>
      </w:tblGrid>
      <w:tr w:rsidR="00DA3B53" w:rsidRPr="00BA4AA1" w14:paraId="2BB652AA" w14:textId="77777777" w:rsidTr="0C3F49AC">
        <w:tc>
          <w:tcPr>
            <w:tcW w:w="4106" w:type="dxa"/>
          </w:tcPr>
          <w:p w14:paraId="1DEF90E8" w14:textId="77777777" w:rsidR="00DA3B53" w:rsidRPr="00BA4AA1" w:rsidRDefault="00DA3B53"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Success Measures</w:t>
            </w:r>
          </w:p>
          <w:p w14:paraId="0A96DC97" w14:textId="77777777" w:rsidR="00DA3B53" w:rsidRPr="00BA4AA1" w:rsidRDefault="00DA3B53" w:rsidP="00BA4AA1">
            <w:pPr>
              <w:rPr>
                <w:rFonts w:ascii="Arial" w:hAnsi="Arial" w:cs="Arial"/>
                <w:b/>
                <w:bCs/>
                <w:color w:val="000000" w:themeColor="text1"/>
                <w:sz w:val="24"/>
                <w:szCs w:val="24"/>
              </w:rPr>
            </w:pPr>
          </w:p>
        </w:tc>
        <w:tc>
          <w:tcPr>
            <w:tcW w:w="3969" w:type="dxa"/>
          </w:tcPr>
          <w:p w14:paraId="58994B32" w14:textId="77777777" w:rsidR="00DA3B53" w:rsidRPr="00BA4AA1" w:rsidRDefault="00DA3B53"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Targets</w:t>
            </w:r>
          </w:p>
          <w:p w14:paraId="0BE69BCD" w14:textId="77777777" w:rsidR="00DA3B53" w:rsidRPr="00BA4AA1" w:rsidRDefault="00DA3B53" w:rsidP="00BA4AA1">
            <w:pPr>
              <w:rPr>
                <w:rFonts w:ascii="Arial" w:hAnsi="Arial" w:cs="Arial"/>
                <w:b/>
                <w:bCs/>
                <w:color w:val="000000" w:themeColor="text1"/>
                <w:sz w:val="24"/>
                <w:szCs w:val="24"/>
              </w:rPr>
            </w:pPr>
          </w:p>
        </w:tc>
        <w:tc>
          <w:tcPr>
            <w:tcW w:w="3544" w:type="dxa"/>
          </w:tcPr>
          <w:p w14:paraId="28F3CAC3" w14:textId="77777777" w:rsidR="00DA3B53" w:rsidRPr="00BA4AA1" w:rsidRDefault="00DA3B53"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outcomes</w:t>
            </w:r>
          </w:p>
        </w:tc>
      </w:tr>
      <w:tr w:rsidR="00DA3B53" w:rsidRPr="00BA4AA1" w14:paraId="69DF1A90" w14:textId="77777777" w:rsidTr="0C3F49AC">
        <w:tc>
          <w:tcPr>
            <w:tcW w:w="4106" w:type="dxa"/>
          </w:tcPr>
          <w:p w14:paraId="0C8E039A"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Number of new homes granted permission</w:t>
            </w:r>
          </w:p>
        </w:tc>
        <w:tc>
          <w:tcPr>
            <w:tcW w:w="3969" w:type="dxa"/>
          </w:tcPr>
          <w:p w14:paraId="3F2CD521"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400</w:t>
            </w:r>
          </w:p>
        </w:tc>
        <w:tc>
          <w:tcPr>
            <w:tcW w:w="3544" w:type="dxa"/>
          </w:tcPr>
          <w:p w14:paraId="35F936F2" w14:textId="77777777" w:rsidR="00DA3B53" w:rsidRPr="00BA4AA1" w:rsidRDefault="00DA3B53"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1,028 from 1</w:t>
            </w:r>
            <w:r w:rsidRPr="00BA4AA1">
              <w:rPr>
                <w:rFonts w:ascii="Arial" w:eastAsia="Calibri" w:hAnsi="Arial" w:cs="Arial"/>
                <w:color w:val="000000" w:themeColor="text1"/>
                <w:sz w:val="24"/>
                <w:szCs w:val="24"/>
                <w:vertAlign w:val="superscript"/>
              </w:rPr>
              <w:t>st</w:t>
            </w:r>
            <w:r w:rsidRPr="00BA4AA1">
              <w:rPr>
                <w:rFonts w:ascii="Arial" w:eastAsia="Calibri" w:hAnsi="Arial" w:cs="Arial"/>
                <w:color w:val="000000" w:themeColor="text1"/>
                <w:sz w:val="24"/>
                <w:szCs w:val="24"/>
              </w:rPr>
              <w:t xml:space="preserve"> April 2019 to 4</w:t>
            </w:r>
            <w:r w:rsidRPr="00BA4AA1">
              <w:rPr>
                <w:rFonts w:ascii="Arial" w:eastAsia="Calibri" w:hAnsi="Arial" w:cs="Arial"/>
                <w:color w:val="000000" w:themeColor="text1"/>
                <w:sz w:val="24"/>
                <w:szCs w:val="24"/>
                <w:vertAlign w:val="superscript"/>
              </w:rPr>
              <w:t>th</w:t>
            </w:r>
            <w:r w:rsidRPr="00BA4AA1">
              <w:rPr>
                <w:rFonts w:ascii="Arial" w:eastAsia="Calibri" w:hAnsi="Arial" w:cs="Arial"/>
                <w:color w:val="000000" w:themeColor="text1"/>
                <w:sz w:val="24"/>
                <w:szCs w:val="24"/>
              </w:rPr>
              <w:t xml:space="preserve"> March 2020 (NB: This includes permissions in principle for residential schemes which have been approved by planning committee subject to </w:t>
            </w:r>
            <w:r w:rsidRPr="00BA4AA1">
              <w:rPr>
                <w:rFonts w:ascii="Arial" w:eastAsia="Calibri" w:hAnsi="Arial" w:cs="Arial"/>
                <w:color w:val="000000" w:themeColor="text1"/>
                <w:sz w:val="24"/>
                <w:szCs w:val="24"/>
              </w:rPr>
              <w:lastRenderedPageBreak/>
              <w:t>the completion of a legal agreement)</w:t>
            </w:r>
          </w:p>
          <w:p w14:paraId="34BDA13B" w14:textId="77777777" w:rsidR="00DA3B53" w:rsidRPr="00BA4AA1" w:rsidRDefault="00DA3B53" w:rsidP="00BA4AA1">
            <w:pPr>
              <w:rPr>
                <w:rFonts w:ascii="Arial" w:hAnsi="Arial" w:cs="Arial"/>
                <w:b/>
                <w:bCs/>
                <w:color w:val="000000" w:themeColor="text1"/>
                <w:sz w:val="24"/>
                <w:szCs w:val="24"/>
              </w:rPr>
            </w:pPr>
          </w:p>
        </w:tc>
      </w:tr>
      <w:tr w:rsidR="00DA3B53" w:rsidRPr="00BA4AA1" w14:paraId="07A9FDCE" w14:textId="77777777" w:rsidTr="0C3F49AC">
        <w:tc>
          <w:tcPr>
            <w:tcW w:w="4106" w:type="dxa"/>
          </w:tcPr>
          <w:p w14:paraId="2F0B071E"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The percentage of HMOs licensed in the city</w:t>
            </w:r>
          </w:p>
        </w:tc>
        <w:tc>
          <w:tcPr>
            <w:tcW w:w="3969" w:type="dxa"/>
          </w:tcPr>
          <w:p w14:paraId="551CC697" w14:textId="77777777" w:rsidR="000C20B7" w:rsidRPr="000C20B7" w:rsidRDefault="00D728FA" w:rsidP="00BA4AA1">
            <w:pPr>
              <w:rPr>
                <w:rFonts w:ascii="Arial" w:hAnsi="Arial" w:cs="Arial"/>
                <w:color w:val="FF0000"/>
                <w:sz w:val="24"/>
                <w:szCs w:val="24"/>
              </w:rPr>
            </w:pPr>
            <w:r>
              <w:rPr>
                <w:rFonts w:ascii="Arial" w:hAnsi="Arial" w:cs="Arial"/>
                <w:color w:val="000000" w:themeColor="text1"/>
                <w:sz w:val="24"/>
                <w:szCs w:val="24"/>
              </w:rPr>
              <w:t>85%</w:t>
            </w:r>
          </w:p>
        </w:tc>
        <w:tc>
          <w:tcPr>
            <w:tcW w:w="3544" w:type="dxa"/>
          </w:tcPr>
          <w:p w14:paraId="4BFB6DA4" w14:textId="77777777" w:rsidR="00DA3B53" w:rsidRPr="009D597C" w:rsidRDefault="002F1DE4" w:rsidP="00BA4AA1">
            <w:pPr>
              <w:rPr>
                <w:rFonts w:ascii="Arial" w:hAnsi="Arial" w:cs="Arial"/>
                <w:bCs/>
                <w:color w:val="000000" w:themeColor="text1"/>
                <w:sz w:val="24"/>
                <w:szCs w:val="24"/>
              </w:rPr>
            </w:pPr>
            <w:r w:rsidRPr="00AF3826">
              <w:rPr>
                <w:rFonts w:ascii="Arial" w:hAnsi="Arial" w:cs="Arial"/>
                <w:bCs/>
                <w:color w:val="000000" w:themeColor="text1"/>
                <w:sz w:val="24"/>
                <w:szCs w:val="24"/>
              </w:rPr>
              <w:t>86%</w:t>
            </w:r>
          </w:p>
        </w:tc>
      </w:tr>
      <w:tr w:rsidR="00DA3B53" w:rsidRPr="00BA4AA1" w14:paraId="5B57D99E" w14:textId="77777777" w:rsidTr="0C3F49AC">
        <w:tc>
          <w:tcPr>
            <w:tcW w:w="4106" w:type="dxa"/>
          </w:tcPr>
          <w:p w14:paraId="1F7A776B"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Limit the use of temporary accommodation to 2015 levels or less</w:t>
            </w:r>
          </w:p>
        </w:tc>
        <w:tc>
          <w:tcPr>
            <w:tcW w:w="3969" w:type="dxa"/>
          </w:tcPr>
          <w:p w14:paraId="38440476"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120</w:t>
            </w:r>
          </w:p>
        </w:tc>
        <w:tc>
          <w:tcPr>
            <w:tcW w:w="3544" w:type="dxa"/>
          </w:tcPr>
          <w:p w14:paraId="246BEC60" w14:textId="77777777" w:rsidR="00DA3B53" w:rsidRPr="00BA4AA1" w:rsidRDefault="001A1A76" w:rsidP="001A1A76">
            <w:pPr>
              <w:rPr>
                <w:rFonts w:ascii="Arial" w:hAnsi="Arial" w:cs="Arial"/>
                <w:color w:val="000000" w:themeColor="text1"/>
                <w:sz w:val="24"/>
                <w:szCs w:val="24"/>
              </w:rPr>
            </w:pPr>
            <w:r w:rsidRPr="00AF3826">
              <w:rPr>
                <w:rFonts w:ascii="Arial" w:eastAsia="Calibri" w:hAnsi="Arial" w:cs="Arial"/>
                <w:color w:val="000000" w:themeColor="text1"/>
                <w:sz w:val="24"/>
                <w:szCs w:val="24"/>
              </w:rPr>
              <w:t>93</w:t>
            </w:r>
            <w:r w:rsidR="00DA3B53" w:rsidRPr="00BA4AA1">
              <w:rPr>
                <w:rFonts w:ascii="Arial" w:eastAsia="Calibri" w:hAnsi="Arial" w:cs="Arial"/>
                <w:color w:val="000000" w:themeColor="text1"/>
                <w:sz w:val="24"/>
                <w:szCs w:val="24"/>
              </w:rPr>
              <w:t xml:space="preserve"> </w:t>
            </w:r>
          </w:p>
        </w:tc>
      </w:tr>
    </w:tbl>
    <w:p w14:paraId="54446BD2" w14:textId="77777777" w:rsidR="00AB791F" w:rsidRPr="00BA4AA1" w:rsidRDefault="00AB791F" w:rsidP="00BA4AA1">
      <w:pPr>
        <w:spacing w:after="0" w:line="240" w:lineRule="auto"/>
        <w:rPr>
          <w:rFonts w:ascii="Arial" w:hAnsi="Arial" w:cs="Arial"/>
          <w:color w:val="000000" w:themeColor="text1"/>
          <w:sz w:val="24"/>
          <w:szCs w:val="24"/>
        </w:rPr>
      </w:pPr>
    </w:p>
    <w:p w14:paraId="5FE946EE" w14:textId="77777777" w:rsidR="00AB791F" w:rsidRPr="00BA4AA1" w:rsidRDefault="00AB791F" w:rsidP="00BA4AA1">
      <w:pPr>
        <w:spacing w:after="0" w:line="240" w:lineRule="auto"/>
        <w:rPr>
          <w:rFonts w:ascii="Arial" w:hAnsi="Arial" w:cs="Arial"/>
          <w:color w:val="000000" w:themeColor="text1"/>
          <w:sz w:val="24"/>
          <w:szCs w:val="24"/>
        </w:rPr>
      </w:pPr>
      <w:r w:rsidRPr="00BA4AA1">
        <w:rPr>
          <w:rFonts w:ascii="Arial" w:hAnsi="Arial" w:cs="Arial"/>
          <w:color w:val="000000" w:themeColor="text1"/>
          <w:sz w:val="24"/>
          <w:szCs w:val="24"/>
        </w:rPr>
        <w:br w:type="page"/>
      </w:r>
    </w:p>
    <w:p w14:paraId="13530B08" w14:textId="77777777" w:rsidR="007B1474" w:rsidRPr="00BA4AA1" w:rsidRDefault="00A64A76" w:rsidP="00BA4AA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 xml:space="preserve">CORPORATE PRIORITY: </w:t>
      </w:r>
      <w:r w:rsidR="00AB791F" w:rsidRPr="00BA4AA1">
        <w:rPr>
          <w:rFonts w:ascii="Arial" w:hAnsi="Arial" w:cs="Arial"/>
          <w:b/>
          <w:color w:val="000000" w:themeColor="text1"/>
          <w:sz w:val="24"/>
          <w:szCs w:val="24"/>
        </w:rPr>
        <w:t>Strong and Active Communities</w:t>
      </w:r>
    </w:p>
    <w:p w14:paraId="73DADAF7" w14:textId="77777777" w:rsidR="00AB791F" w:rsidRPr="00BA4AA1" w:rsidRDefault="00AB791F" w:rsidP="00BA4AA1">
      <w:pPr>
        <w:spacing w:after="0" w:line="240" w:lineRule="auto"/>
        <w:rPr>
          <w:rFonts w:ascii="Arial" w:hAnsi="Arial" w:cs="Arial"/>
          <w:color w:val="000000" w:themeColor="text1"/>
          <w:sz w:val="24"/>
          <w:szCs w:val="24"/>
        </w:rPr>
      </w:pPr>
    </w:p>
    <w:tbl>
      <w:tblPr>
        <w:tblStyle w:val="TableGrid"/>
        <w:tblW w:w="14992" w:type="dxa"/>
        <w:tblLook w:val="04A0" w:firstRow="1" w:lastRow="0" w:firstColumn="1" w:lastColumn="0" w:noHBand="0" w:noVBand="1"/>
      </w:tblPr>
      <w:tblGrid>
        <w:gridCol w:w="5382"/>
        <w:gridCol w:w="9610"/>
      </w:tblGrid>
      <w:tr w:rsidR="00DA3B53" w:rsidRPr="00BA4AA1" w14:paraId="7A019A32" w14:textId="77777777" w:rsidTr="00DA3B53">
        <w:tc>
          <w:tcPr>
            <w:tcW w:w="5382" w:type="dxa"/>
          </w:tcPr>
          <w:p w14:paraId="2E0F2440" w14:textId="77777777" w:rsidR="00DA3B53" w:rsidRPr="00BA4AA1" w:rsidRDefault="00DA3B53" w:rsidP="00BA4AA1">
            <w:pPr>
              <w:rPr>
                <w:rFonts w:ascii="Arial" w:hAnsi="Arial" w:cs="Arial"/>
                <w:b/>
                <w:color w:val="000000" w:themeColor="text1"/>
                <w:sz w:val="24"/>
                <w:szCs w:val="24"/>
              </w:rPr>
            </w:pPr>
            <w:r w:rsidRPr="00BA4AA1">
              <w:rPr>
                <w:rFonts w:ascii="Arial" w:hAnsi="Arial" w:cs="Arial"/>
                <w:b/>
                <w:color w:val="000000" w:themeColor="text1"/>
                <w:sz w:val="24"/>
                <w:szCs w:val="24"/>
              </w:rPr>
              <w:t>Areas of Focus 2019–2020</w:t>
            </w:r>
          </w:p>
        </w:tc>
        <w:tc>
          <w:tcPr>
            <w:tcW w:w="9610" w:type="dxa"/>
          </w:tcPr>
          <w:p w14:paraId="15EE8218" w14:textId="77777777" w:rsidR="00DA3B53" w:rsidRPr="00BA4AA1" w:rsidRDefault="00DA3B53" w:rsidP="00BA4AA1">
            <w:pPr>
              <w:rPr>
                <w:rFonts w:ascii="Arial" w:hAnsi="Arial" w:cs="Arial"/>
                <w:b/>
                <w:color w:val="000000" w:themeColor="text1"/>
                <w:sz w:val="24"/>
                <w:szCs w:val="24"/>
              </w:rPr>
            </w:pPr>
            <w:r w:rsidRPr="00BA4AA1">
              <w:rPr>
                <w:rFonts w:ascii="Arial" w:hAnsi="Arial" w:cs="Arial"/>
                <w:b/>
                <w:color w:val="000000" w:themeColor="text1"/>
                <w:sz w:val="24"/>
                <w:szCs w:val="24"/>
              </w:rPr>
              <w:t>Outcome</w:t>
            </w:r>
          </w:p>
        </w:tc>
      </w:tr>
      <w:tr w:rsidR="00DA3B53" w:rsidRPr="00BA4AA1" w14:paraId="4CDC7096" w14:textId="77777777" w:rsidTr="00DA3B53">
        <w:tc>
          <w:tcPr>
            <w:tcW w:w="5382" w:type="dxa"/>
          </w:tcPr>
          <w:p w14:paraId="2A857B4F"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Open a new £4.9 million Sports Park on Horspath Road to feature floodlit 3G football pitches, grass football pitches, cricket and softball pitches, practice areas, a pavilion and</w:t>
            </w:r>
            <w:r w:rsidR="00BA4AA1" w:rsidRPr="00BA4AA1">
              <w:rPr>
                <w:rFonts w:ascii="Arial" w:hAnsi="Arial" w:cs="Arial"/>
                <w:color w:val="000000" w:themeColor="text1"/>
                <w:sz w:val="24"/>
                <w:szCs w:val="24"/>
              </w:rPr>
              <w:t xml:space="preserve"> changing </w:t>
            </w:r>
            <w:r w:rsidRPr="00BA4AA1">
              <w:rPr>
                <w:rFonts w:ascii="Arial" w:hAnsi="Arial" w:cs="Arial"/>
                <w:color w:val="000000" w:themeColor="text1"/>
                <w:sz w:val="24"/>
                <w:szCs w:val="24"/>
              </w:rPr>
              <w:t>rooms.</w:t>
            </w:r>
          </w:p>
        </w:tc>
        <w:tc>
          <w:tcPr>
            <w:tcW w:w="9610" w:type="dxa"/>
          </w:tcPr>
          <w:p w14:paraId="5DD84503" w14:textId="3B2CB8EC" w:rsidR="00DA3B53" w:rsidRPr="00BA4AA1" w:rsidRDefault="00DA3B53" w:rsidP="00AF3826">
            <w:pPr>
              <w:rPr>
                <w:rFonts w:ascii="Arial" w:hAnsi="Arial" w:cs="Arial"/>
                <w:color w:val="000000" w:themeColor="text1"/>
                <w:sz w:val="24"/>
                <w:szCs w:val="24"/>
              </w:rPr>
            </w:pPr>
            <w:r w:rsidRPr="00BA4AA1">
              <w:rPr>
                <w:rFonts w:ascii="Arial" w:eastAsia="Calibri" w:hAnsi="Arial" w:cs="Arial"/>
                <w:color w:val="000000" w:themeColor="text1"/>
                <w:sz w:val="24"/>
                <w:szCs w:val="24"/>
              </w:rPr>
              <w:t xml:space="preserve">The sports park was successfully opened in 2019 and the lease for the management of the site has been assigned to Oxford United FC. We </w:t>
            </w:r>
            <w:r w:rsidR="00AF3826">
              <w:rPr>
                <w:rFonts w:ascii="Arial" w:eastAsia="Calibri" w:hAnsi="Arial" w:cs="Arial"/>
                <w:color w:val="000000" w:themeColor="text1"/>
                <w:sz w:val="24"/>
                <w:szCs w:val="24"/>
              </w:rPr>
              <w:t xml:space="preserve">have been holding </w:t>
            </w:r>
            <w:r w:rsidRPr="00BA4AA1">
              <w:rPr>
                <w:rFonts w:ascii="Arial" w:eastAsia="Calibri" w:hAnsi="Arial" w:cs="Arial"/>
                <w:color w:val="000000" w:themeColor="text1"/>
                <w:sz w:val="24"/>
                <w:szCs w:val="24"/>
              </w:rPr>
              <w:t xml:space="preserve">regular governance meetings with </w:t>
            </w:r>
            <w:r w:rsidR="00BA4AA1" w:rsidRPr="00BA4AA1">
              <w:rPr>
                <w:rFonts w:ascii="Arial" w:eastAsia="Calibri" w:hAnsi="Arial" w:cs="Arial"/>
                <w:color w:val="000000" w:themeColor="text1"/>
                <w:sz w:val="24"/>
                <w:szCs w:val="24"/>
              </w:rPr>
              <w:t>OU</w:t>
            </w:r>
            <w:r w:rsidRPr="00BA4AA1">
              <w:rPr>
                <w:rFonts w:ascii="Arial" w:eastAsia="Calibri" w:hAnsi="Arial" w:cs="Arial"/>
                <w:color w:val="000000" w:themeColor="text1"/>
                <w:sz w:val="24"/>
                <w:szCs w:val="24"/>
              </w:rPr>
              <w:t>FC every two months to review how well the site is being used by the community and to continue to drive forward participation.</w:t>
            </w:r>
          </w:p>
        </w:tc>
      </w:tr>
      <w:tr w:rsidR="00DA3B53" w:rsidRPr="00BA4AA1" w14:paraId="01393AE3" w14:textId="77777777" w:rsidTr="00DA3B53">
        <w:tc>
          <w:tcPr>
            <w:tcW w:w="5382" w:type="dxa"/>
          </w:tcPr>
          <w:p w14:paraId="3FD804EE"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Help shape and support the launch and delivery of GoodGym Oxford, which organises jogging activities and links them with volunteering opportunities to help</w:t>
            </w:r>
            <w:r w:rsidR="00BA4AA1" w:rsidRPr="00BA4AA1">
              <w:rPr>
                <w:rFonts w:ascii="Arial" w:hAnsi="Arial" w:cs="Arial"/>
                <w:color w:val="000000" w:themeColor="text1"/>
                <w:sz w:val="24"/>
                <w:szCs w:val="24"/>
              </w:rPr>
              <w:t xml:space="preserve"> </w:t>
            </w:r>
            <w:r w:rsidRPr="00BA4AA1">
              <w:rPr>
                <w:rFonts w:ascii="Arial" w:hAnsi="Arial" w:cs="Arial"/>
                <w:color w:val="000000" w:themeColor="text1"/>
                <w:sz w:val="24"/>
                <w:szCs w:val="24"/>
              </w:rPr>
              <w:t>support communities and older people in particular.</w:t>
            </w:r>
          </w:p>
        </w:tc>
        <w:tc>
          <w:tcPr>
            <w:tcW w:w="9610" w:type="dxa"/>
          </w:tcPr>
          <w:p w14:paraId="484103BD" w14:textId="2C21C885" w:rsidR="00DA3B53" w:rsidRPr="00BA4AA1" w:rsidRDefault="00DA3B53"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GoodGym Oxford successfully launched in February 2019.</w:t>
            </w:r>
            <w:r w:rsidR="00BA4AA1" w:rsidRPr="00BA4AA1">
              <w:rPr>
                <w:rFonts w:ascii="Arial" w:hAnsi="Arial" w:cs="Arial"/>
                <w:color w:val="000000" w:themeColor="text1"/>
                <w:sz w:val="24"/>
                <w:szCs w:val="24"/>
              </w:rPr>
              <w:t xml:space="preserve"> </w:t>
            </w:r>
            <w:r w:rsidRPr="00BA4AA1">
              <w:rPr>
                <w:rFonts w:ascii="Arial" w:eastAsia="Calibri" w:hAnsi="Arial" w:cs="Arial"/>
                <w:color w:val="000000" w:themeColor="text1"/>
                <w:sz w:val="24"/>
                <w:szCs w:val="24"/>
              </w:rPr>
              <w:t>A weekly GoodGym running group meet</w:t>
            </w:r>
            <w:r w:rsidR="00BA4AA1" w:rsidRPr="00BA4AA1">
              <w:rPr>
                <w:rFonts w:ascii="Arial" w:eastAsia="Calibri" w:hAnsi="Arial" w:cs="Arial"/>
                <w:color w:val="000000" w:themeColor="text1"/>
                <w:sz w:val="24"/>
                <w:szCs w:val="24"/>
              </w:rPr>
              <w:t>s</w:t>
            </w:r>
            <w:r w:rsidRPr="00BA4AA1">
              <w:rPr>
                <w:rFonts w:ascii="Arial" w:eastAsia="Calibri" w:hAnsi="Arial" w:cs="Arial"/>
                <w:color w:val="000000" w:themeColor="text1"/>
                <w:sz w:val="24"/>
                <w:szCs w:val="24"/>
              </w:rPr>
              <w:t xml:space="preserve"> with an average of 15 runners attending a voluntary task together – tasks have included litter picking, gardening, furniture removal, painting and general tidying at various community centres, schools and green spaces.</w:t>
            </w:r>
            <w:r w:rsidR="00AF3826">
              <w:rPr>
                <w:rFonts w:ascii="Arial" w:eastAsia="Calibri" w:hAnsi="Arial" w:cs="Arial"/>
                <w:color w:val="000000" w:themeColor="text1"/>
                <w:sz w:val="24"/>
                <w:szCs w:val="24"/>
              </w:rPr>
              <w:t xml:space="preserve"> This activity has been suspended during COVID lockdown</w:t>
            </w:r>
            <w:r w:rsidR="00BD3C3F">
              <w:rPr>
                <w:rFonts w:ascii="Arial" w:eastAsia="Calibri" w:hAnsi="Arial" w:cs="Arial"/>
                <w:color w:val="000000" w:themeColor="text1"/>
                <w:sz w:val="24"/>
                <w:szCs w:val="24"/>
              </w:rPr>
              <w:t>.</w:t>
            </w:r>
          </w:p>
        </w:tc>
      </w:tr>
      <w:tr w:rsidR="00DA3B53" w:rsidRPr="00BA4AA1" w14:paraId="61B566F3" w14:textId="77777777" w:rsidTr="00DA3B53">
        <w:tc>
          <w:tcPr>
            <w:tcW w:w="5382" w:type="dxa"/>
          </w:tcPr>
          <w:p w14:paraId="0B94C60C"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Review the provision and maintenance of Council-managed community centres and continue the modernisation of other community centres, focusing on increasing usage and satisfaction levels.</w:t>
            </w:r>
          </w:p>
        </w:tc>
        <w:tc>
          <w:tcPr>
            <w:tcW w:w="9610" w:type="dxa"/>
          </w:tcPr>
          <w:p w14:paraId="657E7AF2" w14:textId="77777777" w:rsidR="00DA3B53" w:rsidRPr="00BA4AA1" w:rsidRDefault="00DA3B53"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A five year maintenance plan has be</w:t>
            </w:r>
            <w:r w:rsidR="00BA4AA1">
              <w:rPr>
                <w:rFonts w:ascii="Arial" w:eastAsia="Calibri" w:hAnsi="Arial" w:cs="Arial"/>
                <w:color w:val="000000" w:themeColor="text1"/>
                <w:sz w:val="24"/>
                <w:szCs w:val="24"/>
              </w:rPr>
              <w:t>en developed for Council-owned c</w:t>
            </w:r>
            <w:r w:rsidRPr="00BA4AA1">
              <w:rPr>
                <w:rFonts w:ascii="Arial" w:eastAsia="Calibri" w:hAnsi="Arial" w:cs="Arial"/>
                <w:color w:val="000000" w:themeColor="text1"/>
                <w:sz w:val="24"/>
                <w:szCs w:val="24"/>
              </w:rPr>
              <w:t xml:space="preserve">ommunity centres. Barton Neighbourhood centre </w:t>
            </w:r>
            <w:r w:rsidR="00BA4AA1">
              <w:rPr>
                <w:rFonts w:ascii="Arial" w:eastAsia="Calibri" w:hAnsi="Arial" w:cs="Arial"/>
                <w:color w:val="000000" w:themeColor="text1"/>
                <w:sz w:val="24"/>
                <w:szCs w:val="24"/>
              </w:rPr>
              <w:t xml:space="preserve">£1 million improvement </w:t>
            </w:r>
            <w:r w:rsidRPr="00BA4AA1">
              <w:rPr>
                <w:rFonts w:ascii="Arial" w:eastAsia="Calibri" w:hAnsi="Arial" w:cs="Arial"/>
                <w:color w:val="000000" w:themeColor="text1"/>
                <w:sz w:val="24"/>
                <w:szCs w:val="24"/>
              </w:rPr>
              <w:t>works were completed during the year including the new library</w:t>
            </w:r>
            <w:r w:rsidR="00BA4AA1">
              <w:rPr>
                <w:rFonts w:ascii="Arial" w:eastAsia="Calibri" w:hAnsi="Arial" w:cs="Arial"/>
                <w:color w:val="000000" w:themeColor="text1"/>
                <w:sz w:val="24"/>
                <w:szCs w:val="24"/>
              </w:rPr>
              <w:t xml:space="preserve"> and the</w:t>
            </w:r>
            <w:r w:rsidRPr="00BA4AA1">
              <w:rPr>
                <w:rFonts w:ascii="Arial" w:eastAsia="Calibri" w:hAnsi="Arial" w:cs="Arial"/>
                <w:color w:val="000000" w:themeColor="text1"/>
                <w:sz w:val="24"/>
                <w:szCs w:val="24"/>
              </w:rPr>
              <w:t xml:space="preserve"> centre was re-opened by Prince Harry.</w:t>
            </w:r>
          </w:p>
          <w:p w14:paraId="403F9149" w14:textId="77777777" w:rsidR="00DA3B53" w:rsidRPr="00BA4AA1" w:rsidRDefault="00BA4AA1" w:rsidP="00AF3826">
            <w:pPr>
              <w:rPr>
                <w:rFonts w:ascii="Arial" w:hAnsi="Arial" w:cs="Arial"/>
                <w:color w:val="000000" w:themeColor="text1"/>
                <w:sz w:val="24"/>
                <w:szCs w:val="24"/>
              </w:rPr>
            </w:pPr>
            <w:r>
              <w:rPr>
                <w:rFonts w:ascii="Arial" w:eastAsia="Calibri" w:hAnsi="Arial" w:cs="Arial"/>
                <w:color w:val="000000" w:themeColor="text1"/>
                <w:sz w:val="24"/>
                <w:szCs w:val="24"/>
              </w:rPr>
              <w:t xml:space="preserve">Plans were agreed with the community association for the replacement of </w:t>
            </w:r>
            <w:r w:rsidR="00DA3B53" w:rsidRPr="00BA4AA1">
              <w:rPr>
                <w:rFonts w:ascii="Arial" w:eastAsia="Calibri" w:hAnsi="Arial" w:cs="Arial"/>
                <w:color w:val="000000" w:themeColor="text1"/>
                <w:sz w:val="24"/>
                <w:szCs w:val="24"/>
              </w:rPr>
              <w:t>Bullingdon Community Centre</w:t>
            </w:r>
            <w:r>
              <w:rPr>
                <w:rFonts w:ascii="Arial" w:eastAsia="Calibri" w:hAnsi="Arial" w:cs="Arial"/>
                <w:color w:val="000000" w:themeColor="text1"/>
                <w:sz w:val="24"/>
                <w:szCs w:val="24"/>
              </w:rPr>
              <w:t xml:space="preserve"> and planning permission was granted for the new building, with </w:t>
            </w:r>
            <w:r w:rsidR="00DA3B53" w:rsidRPr="00BA4AA1">
              <w:rPr>
                <w:rFonts w:ascii="Arial" w:eastAsia="Calibri" w:hAnsi="Arial" w:cs="Arial"/>
                <w:color w:val="000000" w:themeColor="text1"/>
                <w:sz w:val="24"/>
                <w:szCs w:val="24"/>
              </w:rPr>
              <w:t>ODS the main construction contractor.</w:t>
            </w:r>
            <w:r>
              <w:rPr>
                <w:rFonts w:ascii="Arial" w:eastAsia="Calibri" w:hAnsi="Arial" w:cs="Arial"/>
                <w:color w:val="000000" w:themeColor="text1"/>
                <w:sz w:val="24"/>
                <w:szCs w:val="24"/>
              </w:rPr>
              <w:t xml:space="preserve"> </w:t>
            </w:r>
            <w:r w:rsidR="00DA3B53" w:rsidRPr="00BA4AA1">
              <w:rPr>
                <w:rFonts w:ascii="Arial" w:eastAsia="Calibri" w:hAnsi="Arial" w:cs="Arial"/>
                <w:color w:val="000000" w:themeColor="text1"/>
                <w:sz w:val="24"/>
                <w:szCs w:val="24"/>
              </w:rPr>
              <w:t xml:space="preserve">A significant amount of </w:t>
            </w:r>
            <w:r>
              <w:rPr>
                <w:rFonts w:ascii="Arial" w:eastAsia="Calibri" w:hAnsi="Arial" w:cs="Arial"/>
                <w:color w:val="000000" w:themeColor="text1"/>
                <w:sz w:val="24"/>
                <w:szCs w:val="24"/>
              </w:rPr>
              <w:t xml:space="preserve">engagement and design </w:t>
            </w:r>
            <w:r w:rsidR="00DA3B53" w:rsidRPr="00BA4AA1">
              <w:rPr>
                <w:rFonts w:ascii="Arial" w:eastAsia="Calibri" w:hAnsi="Arial" w:cs="Arial"/>
                <w:color w:val="000000" w:themeColor="text1"/>
                <w:sz w:val="24"/>
                <w:szCs w:val="24"/>
              </w:rPr>
              <w:t xml:space="preserve">work has been undertaken on the East Oxford Community centre and Housing project. </w:t>
            </w:r>
            <w:r w:rsidR="00AF3826">
              <w:rPr>
                <w:rFonts w:ascii="Arial" w:hAnsi="Arial" w:cs="Arial"/>
                <w:iCs/>
                <w:color w:val="000000" w:themeColor="text1"/>
                <w:sz w:val="24"/>
                <w:szCs w:val="24"/>
              </w:rPr>
              <w:t>However, these projects are currently paused along with much of the capital investment programme, as the Council has prioritised its COVID response.</w:t>
            </w:r>
          </w:p>
        </w:tc>
      </w:tr>
      <w:tr w:rsidR="00DA3B53" w:rsidRPr="00BA4AA1" w14:paraId="6283D3FD" w14:textId="77777777" w:rsidTr="00DA3B53">
        <w:tc>
          <w:tcPr>
            <w:tcW w:w="5382" w:type="dxa"/>
          </w:tcPr>
          <w:p w14:paraId="073B526B"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Deliver a safe and clean public realm through engagement and enforcement activities and deal with the challenges of drug markets in the city through the Drugs Taskforce.</w:t>
            </w:r>
          </w:p>
        </w:tc>
        <w:tc>
          <w:tcPr>
            <w:tcW w:w="9610" w:type="dxa"/>
          </w:tcPr>
          <w:p w14:paraId="09D59A0E"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 xml:space="preserve">The Public Spaces Drug Task Force worked with the police and with local communities to reduce the dealing of drugs and their use in the public realm.  </w:t>
            </w:r>
            <w:r w:rsidR="00BA4AA1">
              <w:rPr>
                <w:rFonts w:ascii="Arial" w:hAnsi="Arial" w:cs="Arial"/>
                <w:color w:val="000000" w:themeColor="text1"/>
                <w:sz w:val="24"/>
                <w:szCs w:val="24"/>
              </w:rPr>
              <w:t>The “</w:t>
            </w:r>
            <w:r w:rsidRPr="00BA4AA1">
              <w:rPr>
                <w:rFonts w:ascii="Arial" w:hAnsi="Arial" w:cs="Arial"/>
                <w:color w:val="000000" w:themeColor="text1"/>
                <w:sz w:val="24"/>
                <w:szCs w:val="24"/>
              </w:rPr>
              <w:t>CLEAR, HOLD, BUILD</w:t>
            </w:r>
            <w:r w:rsidR="00BA4AA1">
              <w:rPr>
                <w:rFonts w:ascii="Arial" w:hAnsi="Arial" w:cs="Arial"/>
                <w:color w:val="000000" w:themeColor="text1"/>
                <w:sz w:val="24"/>
                <w:szCs w:val="24"/>
              </w:rPr>
              <w:t>”</w:t>
            </w:r>
            <w:r w:rsidRPr="00BA4AA1">
              <w:rPr>
                <w:rFonts w:ascii="Arial" w:hAnsi="Arial" w:cs="Arial"/>
                <w:color w:val="000000" w:themeColor="text1"/>
                <w:sz w:val="24"/>
                <w:szCs w:val="24"/>
              </w:rPr>
              <w:t xml:space="preserve"> approach </w:t>
            </w:r>
            <w:r w:rsidR="00BA4AA1">
              <w:rPr>
                <w:rFonts w:ascii="Arial" w:hAnsi="Arial" w:cs="Arial"/>
                <w:color w:val="000000" w:themeColor="text1"/>
                <w:sz w:val="24"/>
                <w:szCs w:val="24"/>
              </w:rPr>
              <w:t xml:space="preserve">was </w:t>
            </w:r>
            <w:r w:rsidRPr="00BA4AA1">
              <w:rPr>
                <w:rFonts w:ascii="Arial" w:hAnsi="Arial" w:cs="Arial"/>
                <w:color w:val="000000" w:themeColor="text1"/>
                <w:sz w:val="24"/>
                <w:szCs w:val="24"/>
              </w:rPr>
              <w:t>delivered in a number of areas across the city.</w:t>
            </w:r>
          </w:p>
        </w:tc>
      </w:tr>
      <w:tr w:rsidR="00DA3B53" w:rsidRPr="00BA4AA1" w14:paraId="2F920E7B" w14:textId="77777777" w:rsidTr="00DA3B53">
        <w:tc>
          <w:tcPr>
            <w:tcW w:w="5382" w:type="dxa"/>
          </w:tcPr>
          <w:p w14:paraId="766886FF"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Continue to build on ‘Investor in Volunteers’ accreditation and maximise the quality and relevance of our support to the community and voluntary sector.</w:t>
            </w:r>
          </w:p>
        </w:tc>
        <w:tc>
          <w:tcPr>
            <w:tcW w:w="9610" w:type="dxa"/>
          </w:tcPr>
          <w:p w14:paraId="230FC8AB" w14:textId="77777777" w:rsidR="00DA3B53" w:rsidRPr="00BA4AA1" w:rsidRDefault="00BA4AA1" w:rsidP="00AF3826">
            <w:pPr>
              <w:rPr>
                <w:rFonts w:ascii="Arial" w:hAnsi="Arial" w:cs="Arial"/>
                <w:color w:val="000000" w:themeColor="text1"/>
                <w:sz w:val="24"/>
                <w:szCs w:val="24"/>
              </w:rPr>
            </w:pPr>
            <w:r>
              <w:rPr>
                <w:rFonts w:ascii="Arial" w:hAnsi="Arial" w:cs="Arial"/>
                <w:color w:val="000000" w:themeColor="text1"/>
                <w:sz w:val="24"/>
                <w:szCs w:val="24"/>
              </w:rPr>
              <w:t>A</w:t>
            </w:r>
            <w:r w:rsidRPr="00BA4AA1">
              <w:rPr>
                <w:rFonts w:ascii="Arial" w:hAnsi="Arial" w:cs="Arial"/>
                <w:color w:val="000000" w:themeColor="text1"/>
                <w:sz w:val="24"/>
                <w:szCs w:val="24"/>
              </w:rPr>
              <w:t xml:space="preserve"> team is working on fac</w:t>
            </w:r>
            <w:r>
              <w:rPr>
                <w:rFonts w:ascii="Arial" w:hAnsi="Arial" w:cs="Arial"/>
                <w:color w:val="000000" w:themeColor="text1"/>
                <w:sz w:val="24"/>
                <w:szCs w:val="24"/>
              </w:rPr>
              <w:t>ilitating employee volunteering as part of the Council’</w:t>
            </w:r>
            <w:r w:rsidR="00B354BD">
              <w:rPr>
                <w:rFonts w:ascii="Arial" w:hAnsi="Arial" w:cs="Arial"/>
                <w:color w:val="000000" w:themeColor="text1"/>
                <w:sz w:val="24"/>
                <w:szCs w:val="24"/>
              </w:rPr>
              <w:t>s New Ways of Working programme.</w:t>
            </w:r>
            <w:r w:rsidR="00DA3B53" w:rsidRPr="00BA4AA1">
              <w:rPr>
                <w:rFonts w:ascii="Arial" w:hAnsi="Arial" w:cs="Arial"/>
                <w:color w:val="000000" w:themeColor="text1"/>
                <w:sz w:val="24"/>
                <w:szCs w:val="24"/>
              </w:rPr>
              <w:t xml:space="preserve"> This will enable colleagues to learn more about the communities the organisation work with and support, so that there is a better understanding of the challenges faced by them. It is also an excellent opportunity to share skills with organisations and individuals in communities alongside building and strengthening networks and trust.</w:t>
            </w:r>
            <w:r w:rsidR="00AF3826">
              <w:rPr>
                <w:rFonts w:ascii="Arial" w:hAnsi="Arial" w:cs="Arial"/>
                <w:color w:val="000000" w:themeColor="text1"/>
                <w:sz w:val="24"/>
                <w:szCs w:val="24"/>
              </w:rPr>
              <w:t xml:space="preserve"> This scheme will be reappraised to ensure it benefits </w:t>
            </w:r>
            <w:r w:rsidR="00AF3826">
              <w:rPr>
                <w:rFonts w:ascii="Arial" w:hAnsi="Arial" w:cs="Arial"/>
                <w:color w:val="000000" w:themeColor="text1"/>
                <w:sz w:val="24"/>
                <w:szCs w:val="24"/>
              </w:rPr>
              <w:lastRenderedPageBreak/>
              <w:t xml:space="preserve">from the experience gained in working with volunteers to deliver the Council’s COVID response to communities. </w:t>
            </w:r>
          </w:p>
        </w:tc>
      </w:tr>
      <w:tr w:rsidR="00DA3B53" w:rsidRPr="00BA4AA1" w14:paraId="1AD0A0B0" w14:textId="77777777" w:rsidTr="00DA3B53">
        <w:tc>
          <w:tcPr>
            <w:tcW w:w="5382" w:type="dxa"/>
          </w:tcPr>
          <w:p w14:paraId="11424DAB"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Raise funds to continue our community cohesion and integration work until 2020.</w:t>
            </w:r>
          </w:p>
        </w:tc>
        <w:tc>
          <w:tcPr>
            <w:tcW w:w="9610" w:type="dxa"/>
          </w:tcPr>
          <w:p w14:paraId="37AA4973" w14:textId="77777777" w:rsidR="00DA3B53" w:rsidRPr="00B354BD" w:rsidRDefault="00B354BD" w:rsidP="00BA4AA1">
            <w:pPr>
              <w:rPr>
                <w:rFonts w:ascii="Arial" w:hAnsi="Arial" w:cs="Arial"/>
                <w:color w:val="000000" w:themeColor="text1"/>
                <w:sz w:val="24"/>
                <w:szCs w:val="24"/>
              </w:rPr>
            </w:pPr>
            <w:r>
              <w:rPr>
                <w:rFonts w:ascii="Arial" w:hAnsi="Arial" w:cs="Arial"/>
                <w:iCs/>
                <w:color w:val="000000" w:themeColor="text1"/>
                <w:sz w:val="24"/>
                <w:szCs w:val="24"/>
              </w:rPr>
              <w:t xml:space="preserve">A </w:t>
            </w:r>
            <w:r w:rsidR="00DA3B53" w:rsidRPr="00B354BD">
              <w:rPr>
                <w:rFonts w:ascii="Arial" w:hAnsi="Arial" w:cs="Arial"/>
                <w:iCs/>
                <w:color w:val="000000" w:themeColor="text1"/>
                <w:sz w:val="24"/>
                <w:szCs w:val="24"/>
              </w:rPr>
              <w:t>second successful bid to the Controlling Migration Fund from the Ministry of Housing, Communiti</w:t>
            </w:r>
            <w:r>
              <w:rPr>
                <w:rFonts w:ascii="Arial" w:hAnsi="Arial" w:cs="Arial"/>
                <w:iCs/>
                <w:color w:val="000000" w:themeColor="text1"/>
                <w:sz w:val="24"/>
                <w:szCs w:val="24"/>
              </w:rPr>
              <w:t xml:space="preserve">es and Local Government (MHCLG), has provided additional money to fund </w:t>
            </w:r>
            <w:r w:rsidR="00DA3B53" w:rsidRPr="00B354BD">
              <w:rPr>
                <w:rFonts w:ascii="Arial" w:hAnsi="Arial" w:cs="Arial"/>
                <w:iCs/>
                <w:color w:val="000000" w:themeColor="text1"/>
                <w:sz w:val="24"/>
                <w:szCs w:val="24"/>
              </w:rPr>
              <w:t xml:space="preserve">a range of </w:t>
            </w:r>
            <w:r>
              <w:rPr>
                <w:rFonts w:ascii="Arial" w:hAnsi="Arial" w:cs="Arial"/>
                <w:iCs/>
                <w:color w:val="000000" w:themeColor="text1"/>
                <w:sz w:val="24"/>
                <w:szCs w:val="24"/>
              </w:rPr>
              <w:t>new projects to support</w:t>
            </w:r>
            <w:r w:rsidRPr="00B354BD">
              <w:rPr>
                <w:rFonts w:ascii="Arial" w:hAnsi="Arial" w:cs="Arial"/>
                <w:iCs/>
                <w:color w:val="000000" w:themeColor="text1"/>
                <w:sz w:val="24"/>
                <w:szCs w:val="24"/>
              </w:rPr>
              <w:t xml:space="preserve"> refugees, asylum seekers and vulnerable migrants</w:t>
            </w:r>
            <w:r>
              <w:rPr>
                <w:rFonts w:ascii="Arial" w:hAnsi="Arial" w:cs="Arial"/>
                <w:iCs/>
                <w:color w:val="000000" w:themeColor="text1"/>
                <w:sz w:val="24"/>
                <w:szCs w:val="24"/>
              </w:rPr>
              <w:t xml:space="preserve">. These include </w:t>
            </w:r>
            <w:r w:rsidR="00DA3B53" w:rsidRPr="00B354BD">
              <w:rPr>
                <w:rFonts w:ascii="Arial" w:hAnsi="Arial" w:cs="Arial"/>
                <w:iCs/>
                <w:color w:val="000000" w:themeColor="text1"/>
                <w:sz w:val="24"/>
                <w:szCs w:val="24"/>
              </w:rPr>
              <w:t xml:space="preserve">English for Speakers of Other Languages (ESOL) </w:t>
            </w:r>
            <w:r>
              <w:rPr>
                <w:rFonts w:ascii="Arial" w:hAnsi="Arial" w:cs="Arial"/>
                <w:iCs/>
                <w:color w:val="000000" w:themeColor="text1"/>
                <w:sz w:val="24"/>
                <w:szCs w:val="24"/>
              </w:rPr>
              <w:t>classes; men</w:t>
            </w:r>
            <w:r w:rsidR="00DA3B53" w:rsidRPr="00B354BD">
              <w:rPr>
                <w:rFonts w:ascii="Arial" w:hAnsi="Arial" w:cs="Arial"/>
                <w:iCs/>
                <w:color w:val="000000" w:themeColor="text1"/>
                <w:sz w:val="24"/>
                <w:szCs w:val="24"/>
              </w:rPr>
              <w:t>toring</w:t>
            </w:r>
            <w:r>
              <w:rPr>
                <w:rFonts w:ascii="Arial" w:hAnsi="Arial" w:cs="Arial"/>
                <w:iCs/>
                <w:color w:val="000000" w:themeColor="text1"/>
                <w:sz w:val="24"/>
                <w:szCs w:val="24"/>
              </w:rPr>
              <w:t xml:space="preserve"> and volunteering opportunities; </w:t>
            </w:r>
            <w:r w:rsidR="00DA3B53" w:rsidRPr="00B354BD">
              <w:rPr>
                <w:rFonts w:ascii="Arial" w:hAnsi="Arial" w:cs="Arial"/>
                <w:iCs/>
                <w:color w:val="000000" w:themeColor="text1"/>
                <w:sz w:val="24"/>
                <w:szCs w:val="24"/>
              </w:rPr>
              <w:t xml:space="preserve">developing information resources </w:t>
            </w:r>
            <w:r>
              <w:rPr>
                <w:rFonts w:ascii="Arial" w:hAnsi="Arial" w:cs="Arial"/>
                <w:iCs/>
                <w:color w:val="000000" w:themeColor="text1"/>
                <w:sz w:val="24"/>
                <w:szCs w:val="24"/>
              </w:rPr>
              <w:t xml:space="preserve">on </w:t>
            </w:r>
            <w:r w:rsidR="00DA3B53" w:rsidRPr="00B354BD">
              <w:rPr>
                <w:rFonts w:ascii="Arial" w:hAnsi="Arial" w:cs="Arial"/>
                <w:iCs/>
                <w:color w:val="000000" w:themeColor="text1"/>
                <w:sz w:val="24"/>
                <w:szCs w:val="24"/>
              </w:rPr>
              <w:t>availability of support services;</w:t>
            </w:r>
            <w:r>
              <w:rPr>
                <w:rFonts w:ascii="Arial" w:hAnsi="Arial" w:cs="Arial"/>
                <w:iCs/>
                <w:color w:val="000000" w:themeColor="text1"/>
                <w:sz w:val="24"/>
                <w:szCs w:val="24"/>
              </w:rPr>
              <w:t xml:space="preserve"> t</w:t>
            </w:r>
            <w:r w:rsidR="00DA3B53" w:rsidRPr="00B354BD">
              <w:rPr>
                <w:rFonts w:ascii="Arial" w:hAnsi="Arial" w:cs="Arial"/>
                <w:iCs/>
                <w:color w:val="000000" w:themeColor="text1"/>
                <w:sz w:val="24"/>
                <w:szCs w:val="24"/>
              </w:rPr>
              <w:t>ackling rogue landlords who let illegal properties or “beds in sheds”</w:t>
            </w:r>
            <w:r>
              <w:rPr>
                <w:rFonts w:ascii="Arial" w:hAnsi="Arial" w:cs="Arial"/>
                <w:iCs/>
                <w:color w:val="000000" w:themeColor="text1"/>
                <w:sz w:val="24"/>
                <w:szCs w:val="24"/>
              </w:rPr>
              <w:t>; s</w:t>
            </w:r>
            <w:r w:rsidR="00DA3B53" w:rsidRPr="00B354BD">
              <w:rPr>
                <w:rFonts w:ascii="Arial" w:hAnsi="Arial" w:cs="Arial"/>
                <w:iCs/>
                <w:color w:val="000000" w:themeColor="text1"/>
                <w:sz w:val="24"/>
                <w:szCs w:val="24"/>
              </w:rPr>
              <w:t>upporting migrant rough sleepers to access accommodation and support services;</w:t>
            </w:r>
            <w:r>
              <w:rPr>
                <w:rFonts w:ascii="Arial" w:hAnsi="Arial" w:cs="Arial"/>
                <w:iCs/>
                <w:color w:val="000000" w:themeColor="text1"/>
                <w:sz w:val="24"/>
                <w:szCs w:val="24"/>
              </w:rPr>
              <w:t xml:space="preserve"> and r</w:t>
            </w:r>
            <w:r w:rsidR="00DA3B53" w:rsidRPr="00B354BD">
              <w:rPr>
                <w:rFonts w:ascii="Arial" w:hAnsi="Arial" w:cs="Arial"/>
                <w:iCs/>
                <w:color w:val="000000" w:themeColor="text1"/>
                <w:sz w:val="24"/>
                <w:szCs w:val="24"/>
              </w:rPr>
              <w:t>esearch aimed at improving the community’s capacity to tackle exploitation of migrants and human trafficking.</w:t>
            </w:r>
          </w:p>
        </w:tc>
      </w:tr>
      <w:tr w:rsidR="00DA3B53" w:rsidRPr="00BA4AA1" w14:paraId="386B111C" w14:textId="77777777" w:rsidTr="00DA3B53">
        <w:tc>
          <w:tcPr>
            <w:tcW w:w="5382" w:type="dxa"/>
          </w:tcPr>
          <w:p w14:paraId="50B14698"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Conclude and evaluate our £734,000 Building Better Opportunities project that aims to engage entrenched NEETs (Not in Education, Employment or Training).</w:t>
            </w:r>
          </w:p>
        </w:tc>
        <w:tc>
          <w:tcPr>
            <w:tcW w:w="9610" w:type="dxa"/>
          </w:tcPr>
          <w:p w14:paraId="3BEE1A13" w14:textId="77777777" w:rsidR="00DA3B53" w:rsidRPr="00BA4AA1" w:rsidRDefault="00DA3B53" w:rsidP="00BA4AA1">
            <w:pPr>
              <w:rPr>
                <w:rFonts w:ascii="Arial" w:eastAsia="Calibri" w:hAnsi="Arial" w:cs="Arial"/>
                <w:color w:val="000000" w:themeColor="text1"/>
                <w:sz w:val="24"/>
                <w:szCs w:val="24"/>
              </w:rPr>
            </w:pPr>
            <w:r w:rsidRPr="00BA4AA1">
              <w:rPr>
                <w:rFonts w:ascii="Arial" w:eastAsia="Calibri" w:hAnsi="Arial" w:cs="Arial"/>
                <w:color w:val="000000" w:themeColor="text1"/>
                <w:sz w:val="24"/>
                <w:szCs w:val="24"/>
              </w:rPr>
              <w:t>Successfully bid this year to extend the amount of grant to £1.4 million up to June 2022 to work with organisations to facilitate enabling NEET’s back into the job market.</w:t>
            </w:r>
          </w:p>
        </w:tc>
      </w:tr>
      <w:tr w:rsidR="00DA3B53" w:rsidRPr="00BA4AA1" w14:paraId="75794E42" w14:textId="77777777" w:rsidTr="00DA3B53">
        <w:tc>
          <w:tcPr>
            <w:tcW w:w="5382" w:type="dxa"/>
          </w:tcPr>
          <w:p w14:paraId="7E7C4093" w14:textId="77777777" w:rsidR="00DA3B53" w:rsidRPr="00BA4AA1" w:rsidRDefault="00DA3B53" w:rsidP="00BA4AA1">
            <w:pPr>
              <w:rPr>
                <w:rFonts w:ascii="Arial" w:hAnsi="Arial" w:cs="Arial"/>
                <w:color w:val="000000" w:themeColor="text1"/>
                <w:sz w:val="24"/>
                <w:szCs w:val="24"/>
              </w:rPr>
            </w:pPr>
            <w:r w:rsidRPr="00BA4AA1">
              <w:rPr>
                <w:rFonts w:ascii="Arial" w:hAnsi="Arial" w:cs="Arial"/>
                <w:color w:val="000000" w:themeColor="text1"/>
                <w:sz w:val="24"/>
                <w:szCs w:val="24"/>
              </w:rPr>
              <w:t>Work with partners on the implementation of countywide strategies including the Oxfordshire Health &amp; Wellbeing Strategy and Older People’s Strategy to meet the needs of residents in the city.</w:t>
            </w:r>
          </w:p>
        </w:tc>
        <w:tc>
          <w:tcPr>
            <w:tcW w:w="9610" w:type="dxa"/>
          </w:tcPr>
          <w:p w14:paraId="7FC64CB2" w14:textId="77777777" w:rsidR="00DA3B53" w:rsidRPr="00BA4AA1" w:rsidRDefault="00DA3B53" w:rsidP="00B354BD">
            <w:pPr>
              <w:rPr>
                <w:rFonts w:ascii="Arial" w:hAnsi="Arial" w:cs="Arial"/>
                <w:color w:val="000000" w:themeColor="text1"/>
                <w:sz w:val="24"/>
                <w:szCs w:val="24"/>
              </w:rPr>
            </w:pPr>
            <w:r w:rsidRPr="00BA4AA1">
              <w:rPr>
                <w:rFonts w:ascii="Arial" w:eastAsia="Calibri" w:hAnsi="Arial" w:cs="Arial"/>
                <w:color w:val="000000" w:themeColor="text1"/>
                <w:sz w:val="24"/>
                <w:szCs w:val="24"/>
              </w:rPr>
              <w:t>We have worked within the key countywide partnerships to ensure plans are in place and action taken to health and wellbeing of Oxford residents. This included signing the Mental Health Concordat and delivering programmes under the Older People’s Strategy to broaden accessibility and take up of our services by older people and embed our work relating to older people in social prescribing networks.</w:t>
            </w:r>
            <w:r w:rsidRPr="00BA4AA1">
              <w:rPr>
                <w:rFonts w:ascii="Arial" w:hAnsi="Arial" w:cs="Arial"/>
                <w:i/>
                <w:iCs/>
                <w:color w:val="000000" w:themeColor="text1"/>
                <w:sz w:val="24"/>
                <w:szCs w:val="24"/>
              </w:rPr>
              <w:t xml:space="preserve"> </w:t>
            </w:r>
            <w:r w:rsidRPr="00BA4AA1">
              <w:rPr>
                <w:rFonts w:ascii="Arial" w:hAnsi="Arial" w:cs="Arial"/>
                <w:color w:val="000000" w:themeColor="text1"/>
                <w:sz w:val="24"/>
                <w:szCs w:val="24"/>
              </w:rPr>
              <w:t xml:space="preserve">The Home Improvement Agency’s amended and improved Adaptations Policy enabled an accelerated and increased spend on adaptations to £1.4m enabling older people to remain safely in their homes. The policy was recognised nationally as good practice by Care and Repair England who encouraged other councils to follow our lead. </w:t>
            </w:r>
          </w:p>
        </w:tc>
      </w:tr>
    </w:tbl>
    <w:p w14:paraId="49BC3515" w14:textId="77777777" w:rsidR="00AB791F" w:rsidRPr="00BA4AA1" w:rsidRDefault="00AB791F" w:rsidP="00BA4AA1">
      <w:pPr>
        <w:spacing w:after="0" w:line="240" w:lineRule="auto"/>
        <w:rPr>
          <w:rFonts w:ascii="Arial" w:hAnsi="Arial" w:cs="Arial"/>
          <w:color w:val="000000" w:themeColor="text1"/>
          <w:sz w:val="24"/>
          <w:szCs w:val="24"/>
        </w:rPr>
      </w:pPr>
    </w:p>
    <w:p w14:paraId="544D5140" w14:textId="77777777" w:rsidR="00AB791F" w:rsidRPr="00BA4AA1" w:rsidRDefault="00AB791F" w:rsidP="00BA4AA1">
      <w:pPr>
        <w:spacing w:after="0" w:line="240" w:lineRule="auto"/>
        <w:rPr>
          <w:rFonts w:ascii="Arial" w:hAnsi="Arial" w:cs="Arial"/>
          <w:b/>
          <w:bCs/>
          <w:color w:val="000000" w:themeColor="text1"/>
          <w:sz w:val="24"/>
          <w:szCs w:val="24"/>
        </w:rPr>
      </w:pPr>
    </w:p>
    <w:p w14:paraId="3532F04C" w14:textId="77777777" w:rsidR="00AB791F" w:rsidRPr="00BA4AA1" w:rsidRDefault="00AB791F" w:rsidP="00BA4AA1">
      <w:pPr>
        <w:spacing w:after="0" w:line="240" w:lineRule="auto"/>
        <w:rPr>
          <w:rFonts w:ascii="Arial" w:hAnsi="Arial" w:cs="Arial"/>
          <w:b/>
          <w:bCs/>
          <w:color w:val="000000" w:themeColor="text1"/>
          <w:sz w:val="24"/>
          <w:szCs w:val="24"/>
        </w:rPr>
      </w:pPr>
    </w:p>
    <w:tbl>
      <w:tblPr>
        <w:tblStyle w:val="TableGrid"/>
        <w:tblW w:w="14879" w:type="dxa"/>
        <w:tblLook w:val="04A0" w:firstRow="1" w:lastRow="0" w:firstColumn="1" w:lastColumn="0" w:noHBand="0" w:noVBand="1"/>
      </w:tblPr>
      <w:tblGrid>
        <w:gridCol w:w="4106"/>
        <w:gridCol w:w="3969"/>
        <w:gridCol w:w="6804"/>
      </w:tblGrid>
      <w:tr w:rsidR="00B354BD" w:rsidRPr="00BA4AA1" w14:paraId="2B2937EB" w14:textId="77777777" w:rsidTr="00056D26">
        <w:tc>
          <w:tcPr>
            <w:tcW w:w="4106" w:type="dxa"/>
          </w:tcPr>
          <w:p w14:paraId="7E396A99" w14:textId="77777777" w:rsidR="00B354BD" w:rsidRPr="00BA4AA1" w:rsidRDefault="00B354BD"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Success Measures</w:t>
            </w:r>
          </w:p>
          <w:p w14:paraId="7BBB6B5C" w14:textId="77777777" w:rsidR="00B354BD" w:rsidRPr="00BA4AA1" w:rsidRDefault="00B354BD" w:rsidP="00BA4AA1">
            <w:pPr>
              <w:rPr>
                <w:rFonts w:ascii="Arial" w:hAnsi="Arial" w:cs="Arial"/>
                <w:b/>
                <w:bCs/>
                <w:color w:val="000000" w:themeColor="text1"/>
                <w:sz w:val="24"/>
                <w:szCs w:val="24"/>
              </w:rPr>
            </w:pPr>
          </w:p>
        </w:tc>
        <w:tc>
          <w:tcPr>
            <w:tcW w:w="3969" w:type="dxa"/>
          </w:tcPr>
          <w:p w14:paraId="6012AB52" w14:textId="77777777" w:rsidR="00B354BD" w:rsidRPr="00BA4AA1" w:rsidRDefault="00B354BD"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Targets</w:t>
            </w:r>
          </w:p>
          <w:p w14:paraId="47434F37" w14:textId="77777777" w:rsidR="00B354BD" w:rsidRPr="00BA4AA1" w:rsidRDefault="00B354BD" w:rsidP="00BA4AA1">
            <w:pPr>
              <w:rPr>
                <w:rFonts w:ascii="Arial" w:hAnsi="Arial" w:cs="Arial"/>
                <w:b/>
                <w:bCs/>
                <w:color w:val="000000" w:themeColor="text1"/>
                <w:sz w:val="24"/>
                <w:szCs w:val="24"/>
              </w:rPr>
            </w:pPr>
          </w:p>
        </w:tc>
        <w:tc>
          <w:tcPr>
            <w:tcW w:w="6804" w:type="dxa"/>
          </w:tcPr>
          <w:p w14:paraId="7C42D66E" w14:textId="77777777" w:rsidR="00B354BD" w:rsidRPr="00BA4AA1" w:rsidRDefault="00B354BD"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outcomes</w:t>
            </w:r>
          </w:p>
        </w:tc>
      </w:tr>
      <w:tr w:rsidR="00B354BD" w:rsidRPr="00BA4AA1" w14:paraId="7A16C431" w14:textId="77777777" w:rsidTr="00056D26">
        <w:tc>
          <w:tcPr>
            <w:tcW w:w="4106" w:type="dxa"/>
          </w:tcPr>
          <w:p w14:paraId="6752F2E2" w14:textId="77777777" w:rsidR="00B354BD" w:rsidRPr="00BA4AA1" w:rsidRDefault="00B354BD" w:rsidP="00B354BD">
            <w:pPr>
              <w:rPr>
                <w:rFonts w:ascii="Arial" w:hAnsi="Arial" w:cs="Arial"/>
                <w:color w:val="000000" w:themeColor="text1"/>
                <w:sz w:val="24"/>
                <w:szCs w:val="24"/>
              </w:rPr>
            </w:pPr>
            <w:r w:rsidRPr="00BA4AA1">
              <w:rPr>
                <w:rFonts w:ascii="Arial" w:hAnsi="Arial" w:cs="Arial"/>
                <w:color w:val="000000" w:themeColor="text1"/>
                <w:sz w:val="24"/>
                <w:szCs w:val="24"/>
              </w:rPr>
              <w:t>Resident satisfaction with their area as a</w:t>
            </w:r>
            <w:r>
              <w:rPr>
                <w:rFonts w:ascii="Arial" w:hAnsi="Arial" w:cs="Arial"/>
                <w:color w:val="000000" w:themeColor="text1"/>
                <w:sz w:val="24"/>
                <w:szCs w:val="24"/>
              </w:rPr>
              <w:t xml:space="preserve"> </w:t>
            </w:r>
            <w:r w:rsidRPr="00BA4AA1">
              <w:rPr>
                <w:rFonts w:ascii="Arial" w:hAnsi="Arial" w:cs="Arial"/>
                <w:color w:val="000000" w:themeColor="text1"/>
                <w:sz w:val="24"/>
                <w:szCs w:val="24"/>
              </w:rPr>
              <w:t>place to live</w:t>
            </w:r>
          </w:p>
        </w:tc>
        <w:tc>
          <w:tcPr>
            <w:tcW w:w="3969" w:type="dxa"/>
          </w:tcPr>
          <w:p w14:paraId="743CB100"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81%</w:t>
            </w:r>
          </w:p>
        </w:tc>
        <w:tc>
          <w:tcPr>
            <w:tcW w:w="6804" w:type="dxa"/>
          </w:tcPr>
          <w:p w14:paraId="575F323A" w14:textId="77777777" w:rsidR="00B354BD" w:rsidRPr="00B354BD" w:rsidRDefault="00B354BD" w:rsidP="00BA4AA1">
            <w:pPr>
              <w:rPr>
                <w:rFonts w:ascii="Arial" w:hAnsi="Arial" w:cs="Arial"/>
                <w:bCs/>
                <w:color w:val="000000" w:themeColor="text1"/>
                <w:sz w:val="24"/>
                <w:szCs w:val="24"/>
              </w:rPr>
            </w:pPr>
            <w:r>
              <w:rPr>
                <w:rFonts w:ascii="Arial" w:hAnsi="Arial" w:cs="Arial"/>
                <w:bCs/>
                <w:color w:val="000000" w:themeColor="text1"/>
                <w:sz w:val="24"/>
                <w:szCs w:val="24"/>
              </w:rPr>
              <w:t>Not measured, next survey in 2020</w:t>
            </w:r>
          </w:p>
        </w:tc>
      </w:tr>
      <w:tr w:rsidR="00B354BD" w:rsidRPr="00BA4AA1" w14:paraId="55DFD13F" w14:textId="77777777" w:rsidTr="00056D26">
        <w:tc>
          <w:tcPr>
            <w:tcW w:w="4106" w:type="dxa"/>
          </w:tcPr>
          <w:p w14:paraId="567185EF"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The number of people taking part in our</w:t>
            </w:r>
            <w:r w:rsidR="00D728FA">
              <w:rPr>
                <w:rFonts w:ascii="Arial" w:hAnsi="Arial" w:cs="Arial"/>
                <w:color w:val="000000" w:themeColor="text1"/>
                <w:sz w:val="24"/>
                <w:szCs w:val="24"/>
              </w:rPr>
              <w:t xml:space="preserve"> </w:t>
            </w:r>
            <w:r w:rsidRPr="00BA4AA1">
              <w:rPr>
                <w:rFonts w:ascii="Arial" w:hAnsi="Arial" w:cs="Arial"/>
                <w:color w:val="000000" w:themeColor="text1"/>
                <w:sz w:val="24"/>
                <w:szCs w:val="24"/>
              </w:rPr>
              <w:t>Youth Ambition Programme</w:t>
            </w:r>
          </w:p>
        </w:tc>
        <w:tc>
          <w:tcPr>
            <w:tcW w:w="3969" w:type="dxa"/>
          </w:tcPr>
          <w:p w14:paraId="5C2BFEA9" w14:textId="77777777" w:rsidR="00B354BD" w:rsidRPr="00BA4AA1" w:rsidRDefault="00B354BD" w:rsidP="00D728FA">
            <w:pPr>
              <w:rPr>
                <w:rFonts w:ascii="Arial" w:hAnsi="Arial" w:cs="Arial"/>
                <w:color w:val="000000" w:themeColor="text1"/>
                <w:sz w:val="24"/>
                <w:szCs w:val="24"/>
              </w:rPr>
            </w:pPr>
            <w:r w:rsidRPr="00BA4AA1">
              <w:rPr>
                <w:rFonts w:ascii="Arial" w:hAnsi="Arial" w:cs="Arial"/>
                <w:color w:val="000000" w:themeColor="text1"/>
                <w:sz w:val="24"/>
                <w:szCs w:val="24"/>
              </w:rPr>
              <w:t xml:space="preserve">5,700 </w:t>
            </w:r>
          </w:p>
        </w:tc>
        <w:tc>
          <w:tcPr>
            <w:tcW w:w="6804" w:type="dxa"/>
          </w:tcPr>
          <w:p w14:paraId="1ED57542" w14:textId="77777777" w:rsidR="00F92FF5" w:rsidRPr="00C8660B" w:rsidRDefault="00F92FF5" w:rsidP="00F92FF5">
            <w:pPr>
              <w:rPr>
                <w:rFonts w:ascii="Arial" w:hAnsi="Arial" w:cs="Arial"/>
                <w:color w:val="000000"/>
                <w:sz w:val="24"/>
                <w:szCs w:val="24"/>
              </w:rPr>
            </w:pPr>
            <w:r w:rsidRPr="00C8660B">
              <w:rPr>
                <w:rFonts w:ascii="Arial" w:hAnsi="Arial" w:cs="Arial"/>
                <w:color w:val="000000"/>
                <w:sz w:val="24"/>
                <w:szCs w:val="24"/>
              </w:rPr>
              <w:t xml:space="preserve">Program delivery at the end of March 2020 showed just below target with </w:t>
            </w:r>
            <w:r w:rsidRPr="00C8660B">
              <w:rPr>
                <w:rFonts w:ascii="Arial" w:hAnsi="Arial" w:cs="Arial"/>
                <w:b/>
                <w:bCs/>
                <w:color w:val="000000"/>
                <w:sz w:val="24"/>
                <w:szCs w:val="24"/>
              </w:rPr>
              <w:t>5,530 participants</w:t>
            </w:r>
            <w:r w:rsidRPr="00C8660B">
              <w:rPr>
                <w:rFonts w:ascii="Arial" w:hAnsi="Arial" w:cs="Arial"/>
                <w:color w:val="000000"/>
                <w:sz w:val="24"/>
                <w:szCs w:val="24"/>
              </w:rPr>
              <w:t>.</w:t>
            </w:r>
          </w:p>
          <w:p w14:paraId="7E0032F9" w14:textId="77777777" w:rsidR="00F92FF5" w:rsidRPr="00C8660B" w:rsidRDefault="00F92FF5" w:rsidP="00F92FF5">
            <w:pPr>
              <w:rPr>
                <w:rFonts w:ascii="Arial" w:hAnsi="Arial" w:cs="Arial"/>
                <w:color w:val="000000"/>
                <w:sz w:val="24"/>
                <w:szCs w:val="24"/>
              </w:rPr>
            </w:pPr>
          </w:p>
          <w:p w14:paraId="68B07E07" w14:textId="77777777" w:rsidR="00B354BD" w:rsidRPr="00BA4AA1" w:rsidRDefault="00F92FF5" w:rsidP="00C8660B">
            <w:pPr>
              <w:rPr>
                <w:rFonts w:ascii="Arial" w:hAnsi="Arial" w:cs="Arial"/>
                <w:color w:val="000000" w:themeColor="text1"/>
                <w:sz w:val="24"/>
                <w:szCs w:val="24"/>
              </w:rPr>
            </w:pPr>
            <w:r w:rsidRPr="00C8660B">
              <w:rPr>
                <w:rFonts w:ascii="Arial" w:hAnsi="Arial" w:cs="Arial"/>
                <w:color w:val="000000"/>
                <w:sz w:val="24"/>
                <w:szCs w:val="24"/>
              </w:rPr>
              <w:t xml:space="preserve">This outcome is mitigated due to the forced suspension (in mid-March 2020), of delivery sessions for </w:t>
            </w:r>
            <w:r w:rsidR="00C8660B">
              <w:rPr>
                <w:rFonts w:ascii="Arial" w:hAnsi="Arial" w:cs="Arial"/>
                <w:color w:val="000000"/>
                <w:sz w:val="24"/>
                <w:szCs w:val="24"/>
              </w:rPr>
              <w:t>y</w:t>
            </w:r>
            <w:r w:rsidRPr="00C8660B">
              <w:rPr>
                <w:rFonts w:ascii="Arial" w:hAnsi="Arial" w:cs="Arial"/>
                <w:color w:val="000000"/>
                <w:sz w:val="24"/>
                <w:szCs w:val="24"/>
              </w:rPr>
              <w:t xml:space="preserve">oung </w:t>
            </w:r>
            <w:r w:rsidR="00C8660B">
              <w:rPr>
                <w:rFonts w:ascii="Arial" w:hAnsi="Arial" w:cs="Arial"/>
                <w:color w:val="000000"/>
                <w:sz w:val="24"/>
                <w:szCs w:val="24"/>
              </w:rPr>
              <w:t>p</w:t>
            </w:r>
            <w:r w:rsidRPr="00C8660B">
              <w:rPr>
                <w:rFonts w:ascii="Arial" w:hAnsi="Arial" w:cs="Arial"/>
                <w:color w:val="000000"/>
                <w:sz w:val="24"/>
                <w:szCs w:val="24"/>
              </w:rPr>
              <w:t xml:space="preserve">eople </w:t>
            </w:r>
            <w:r w:rsidR="00C8660B">
              <w:rPr>
                <w:rFonts w:ascii="Arial" w:hAnsi="Arial" w:cs="Arial"/>
                <w:color w:val="000000"/>
                <w:sz w:val="24"/>
                <w:szCs w:val="24"/>
              </w:rPr>
              <w:t>d</w:t>
            </w:r>
            <w:r w:rsidRPr="00C8660B">
              <w:rPr>
                <w:rFonts w:ascii="Arial" w:hAnsi="Arial" w:cs="Arial"/>
                <w:color w:val="000000"/>
                <w:sz w:val="24"/>
                <w:szCs w:val="24"/>
              </w:rPr>
              <w:t>ue to the impact of the COVID-19 pandemic.</w:t>
            </w:r>
          </w:p>
        </w:tc>
      </w:tr>
      <w:tr w:rsidR="00B354BD" w:rsidRPr="00BA4AA1" w14:paraId="58D2AA6E" w14:textId="77777777" w:rsidTr="00056D26">
        <w:tc>
          <w:tcPr>
            <w:tcW w:w="4106" w:type="dxa"/>
          </w:tcPr>
          <w:p w14:paraId="066B3DA6"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Increase leisure centre participation target</w:t>
            </w:r>
            <w:r w:rsidR="00C8660B">
              <w:rPr>
                <w:rFonts w:ascii="Arial" w:hAnsi="Arial" w:cs="Arial"/>
                <w:color w:val="000000" w:themeColor="text1"/>
                <w:sz w:val="24"/>
                <w:szCs w:val="24"/>
              </w:rPr>
              <w:t xml:space="preserve"> </w:t>
            </w:r>
            <w:r w:rsidRPr="00BA4AA1">
              <w:rPr>
                <w:rFonts w:ascii="Arial" w:hAnsi="Arial" w:cs="Arial"/>
                <w:color w:val="000000" w:themeColor="text1"/>
                <w:sz w:val="24"/>
                <w:szCs w:val="24"/>
              </w:rPr>
              <w:t>groups</w:t>
            </w:r>
          </w:p>
        </w:tc>
        <w:tc>
          <w:tcPr>
            <w:tcW w:w="3969" w:type="dxa"/>
          </w:tcPr>
          <w:p w14:paraId="5B28C206"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3% increase</w:t>
            </w:r>
          </w:p>
        </w:tc>
        <w:tc>
          <w:tcPr>
            <w:tcW w:w="6804" w:type="dxa"/>
          </w:tcPr>
          <w:p w14:paraId="45A84D46" w14:textId="77777777" w:rsidR="001A1A76" w:rsidRPr="00C8660B" w:rsidRDefault="001A1A76" w:rsidP="001A1A76">
            <w:pPr>
              <w:rPr>
                <w:rFonts w:ascii="Arial" w:hAnsi="Arial" w:cs="Arial"/>
                <w:color w:val="000000"/>
                <w:sz w:val="24"/>
                <w:szCs w:val="24"/>
              </w:rPr>
            </w:pPr>
            <w:r w:rsidRPr="00C8660B">
              <w:rPr>
                <w:rFonts w:ascii="Arial" w:hAnsi="Arial" w:cs="Arial"/>
                <w:color w:val="000000"/>
                <w:sz w:val="24"/>
                <w:szCs w:val="24"/>
              </w:rPr>
              <w:t>Data reported by our leisure provider (Fusion) in February 2020 indicated</w:t>
            </w:r>
            <w:r w:rsidRPr="00C8660B">
              <w:rPr>
                <w:rFonts w:ascii="Arial" w:hAnsi="Arial" w:cs="Arial"/>
                <w:b/>
                <w:bCs/>
                <w:i/>
                <w:iCs/>
                <w:color w:val="000000"/>
                <w:sz w:val="24"/>
                <w:szCs w:val="24"/>
              </w:rPr>
              <w:t> visits increased by 1.3%</w:t>
            </w:r>
            <w:r w:rsidRPr="00C8660B">
              <w:rPr>
                <w:rFonts w:ascii="Arial" w:hAnsi="Arial" w:cs="Arial"/>
                <w:b/>
                <w:bCs/>
                <w:color w:val="000000"/>
                <w:sz w:val="24"/>
                <w:szCs w:val="24"/>
              </w:rPr>
              <w:t xml:space="preserve"> </w:t>
            </w:r>
            <w:r w:rsidRPr="00C8660B">
              <w:rPr>
                <w:rFonts w:ascii="Arial" w:hAnsi="Arial" w:cs="Arial"/>
                <w:color w:val="000000"/>
                <w:sz w:val="24"/>
                <w:szCs w:val="24"/>
              </w:rPr>
              <w:t>for an 11 month reporting period.</w:t>
            </w:r>
          </w:p>
          <w:p w14:paraId="64A96240" w14:textId="77777777" w:rsidR="001A1A76" w:rsidRPr="00C8660B" w:rsidRDefault="001A1A76" w:rsidP="001A1A76">
            <w:pPr>
              <w:rPr>
                <w:rFonts w:ascii="Arial" w:hAnsi="Arial" w:cs="Arial"/>
                <w:sz w:val="24"/>
                <w:szCs w:val="24"/>
              </w:rPr>
            </w:pPr>
          </w:p>
          <w:p w14:paraId="109BE59D" w14:textId="4FEB9CD5" w:rsidR="001A1A76" w:rsidRDefault="001A1A76" w:rsidP="001A1A76">
            <w:pPr>
              <w:rPr>
                <w:rFonts w:ascii="Arial" w:hAnsi="Arial" w:cs="Arial"/>
                <w:sz w:val="24"/>
                <w:szCs w:val="24"/>
              </w:rPr>
            </w:pPr>
            <w:r w:rsidRPr="00C8660B">
              <w:rPr>
                <w:rFonts w:ascii="Arial" w:hAnsi="Arial" w:cs="Arial"/>
                <w:color w:val="000000"/>
                <w:sz w:val="24"/>
                <w:szCs w:val="24"/>
              </w:rPr>
              <w:t xml:space="preserve">Fusion </w:t>
            </w:r>
            <w:r w:rsidR="00C8660B">
              <w:rPr>
                <w:rFonts w:ascii="Arial" w:hAnsi="Arial" w:cs="Arial"/>
                <w:color w:val="000000"/>
                <w:sz w:val="24"/>
                <w:szCs w:val="24"/>
              </w:rPr>
              <w:t>reported</w:t>
            </w:r>
            <w:r w:rsidRPr="00C8660B">
              <w:rPr>
                <w:rFonts w:ascii="Arial" w:hAnsi="Arial" w:cs="Arial"/>
                <w:color w:val="000000"/>
                <w:sz w:val="24"/>
                <w:szCs w:val="24"/>
              </w:rPr>
              <w:t xml:space="preserve"> a positive month-on-month direction of travel between January and February 2020</w:t>
            </w:r>
            <w:r w:rsidR="00C8660B">
              <w:rPr>
                <w:rFonts w:ascii="Arial" w:hAnsi="Arial" w:cs="Arial"/>
                <w:color w:val="000000"/>
                <w:sz w:val="24"/>
                <w:szCs w:val="24"/>
              </w:rPr>
              <w:t xml:space="preserve">, </w:t>
            </w:r>
            <w:r w:rsidRPr="00C8660B">
              <w:rPr>
                <w:rFonts w:ascii="Arial" w:hAnsi="Arial" w:cs="Arial"/>
                <w:color w:val="000000"/>
                <w:sz w:val="24"/>
                <w:szCs w:val="24"/>
              </w:rPr>
              <w:t>expected to continue into March 2020</w:t>
            </w:r>
            <w:r w:rsidR="00C8660B">
              <w:rPr>
                <w:rFonts w:ascii="Arial" w:hAnsi="Arial" w:cs="Arial"/>
                <w:color w:val="000000"/>
                <w:sz w:val="24"/>
                <w:szCs w:val="24"/>
              </w:rPr>
              <w:t>.</w:t>
            </w:r>
            <w:r w:rsidRPr="00C8660B">
              <w:rPr>
                <w:rFonts w:ascii="Arial" w:hAnsi="Arial" w:cs="Arial"/>
                <w:color w:val="000000"/>
                <w:sz w:val="24"/>
                <w:szCs w:val="24"/>
              </w:rPr>
              <w:t xml:space="preserve"> </w:t>
            </w:r>
            <w:r w:rsidR="00C8660B">
              <w:rPr>
                <w:rFonts w:ascii="Arial" w:hAnsi="Arial" w:cs="Arial"/>
                <w:color w:val="000000"/>
                <w:sz w:val="24"/>
                <w:szCs w:val="24"/>
              </w:rPr>
              <w:t>H</w:t>
            </w:r>
            <w:r w:rsidRPr="00C8660B">
              <w:rPr>
                <w:rFonts w:ascii="Arial" w:hAnsi="Arial" w:cs="Arial"/>
                <w:color w:val="000000"/>
                <w:sz w:val="24"/>
                <w:szCs w:val="24"/>
              </w:rPr>
              <w:t>owever on 20 March 2020</w:t>
            </w:r>
            <w:r w:rsidRPr="00C8660B">
              <w:rPr>
                <w:rFonts w:ascii="Arial" w:hAnsi="Arial" w:cs="Arial"/>
                <w:sz w:val="24"/>
                <w:szCs w:val="24"/>
              </w:rPr>
              <w:t xml:space="preserve"> facilities across the physical activity landscape were </w:t>
            </w:r>
            <w:r w:rsidR="00C8660B">
              <w:rPr>
                <w:rFonts w:ascii="Arial" w:hAnsi="Arial" w:cs="Arial"/>
                <w:sz w:val="24"/>
                <w:szCs w:val="24"/>
              </w:rPr>
              <w:t>required</w:t>
            </w:r>
            <w:r w:rsidR="00C8660B" w:rsidRPr="00C8660B">
              <w:rPr>
                <w:rFonts w:ascii="Arial" w:hAnsi="Arial" w:cs="Arial"/>
                <w:sz w:val="24"/>
                <w:szCs w:val="24"/>
              </w:rPr>
              <w:t xml:space="preserve"> </w:t>
            </w:r>
            <w:r w:rsidRPr="00C8660B">
              <w:rPr>
                <w:rFonts w:ascii="Arial" w:hAnsi="Arial" w:cs="Arial"/>
                <w:sz w:val="24"/>
                <w:szCs w:val="24"/>
              </w:rPr>
              <w:t>to close by the Government</w:t>
            </w:r>
            <w:r w:rsidR="00C8660B">
              <w:rPr>
                <w:rFonts w:ascii="Arial" w:hAnsi="Arial" w:cs="Arial"/>
                <w:sz w:val="24"/>
                <w:szCs w:val="24"/>
              </w:rPr>
              <w:t xml:space="preserve"> due to COVID-19.</w:t>
            </w:r>
            <w:r w:rsidRPr="00C8660B">
              <w:rPr>
                <w:rFonts w:ascii="Arial" w:hAnsi="Arial" w:cs="Arial"/>
                <w:sz w:val="24"/>
                <w:szCs w:val="24"/>
              </w:rPr>
              <w:t xml:space="preserve"> f</w:t>
            </w:r>
            <w:r>
              <w:rPr>
                <w:rFonts w:ascii="Arial" w:hAnsi="Arial" w:cs="Arial"/>
                <w:sz w:val="24"/>
                <w:szCs w:val="24"/>
              </w:rPr>
              <w:t xml:space="preserve"> </w:t>
            </w:r>
          </w:p>
          <w:p w14:paraId="47C48297" w14:textId="77777777" w:rsidR="00B354BD" w:rsidRPr="00BA4AA1" w:rsidRDefault="00B354BD" w:rsidP="00BA4AA1">
            <w:pPr>
              <w:rPr>
                <w:rFonts w:ascii="Arial" w:hAnsi="Arial" w:cs="Arial"/>
                <w:b/>
                <w:bCs/>
                <w:color w:val="000000" w:themeColor="text1"/>
                <w:sz w:val="24"/>
                <w:szCs w:val="24"/>
              </w:rPr>
            </w:pPr>
          </w:p>
        </w:tc>
      </w:tr>
    </w:tbl>
    <w:p w14:paraId="24E1140E" w14:textId="77777777" w:rsidR="00D76797" w:rsidRPr="00BA4AA1" w:rsidRDefault="00D76797" w:rsidP="00BA4AA1">
      <w:pPr>
        <w:spacing w:after="0" w:line="240" w:lineRule="auto"/>
        <w:rPr>
          <w:rFonts w:ascii="Arial" w:hAnsi="Arial" w:cs="Arial"/>
          <w:color w:val="000000" w:themeColor="text1"/>
          <w:sz w:val="24"/>
          <w:szCs w:val="24"/>
        </w:rPr>
      </w:pPr>
    </w:p>
    <w:p w14:paraId="69CB2B9C" w14:textId="77777777" w:rsidR="00D76797" w:rsidRPr="00BA4AA1" w:rsidRDefault="00D76797" w:rsidP="00BA4AA1">
      <w:pPr>
        <w:spacing w:after="0" w:line="240" w:lineRule="auto"/>
        <w:rPr>
          <w:rFonts w:ascii="Arial" w:hAnsi="Arial" w:cs="Arial"/>
          <w:color w:val="000000" w:themeColor="text1"/>
          <w:sz w:val="24"/>
          <w:szCs w:val="24"/>
        </w:rPr>
      </w:pPr>
      <w:r w:rsidRPr="00BA4AA1">
        <w:rPr>
          <w:rFonts w:ascii="Arial" w:hAnsi="Arial" w:cs="Arial"/>
          <w:color w:val="000000" w:themeColor="text1"/>
          <w:sz w:val="24"/>
          <w:szCs w:val="24"/>
        </w:rPr>
        <w:br w:type="page"/>
      </w:r>
    </w:p>
    <w:p w14:paraId="3254E74D" w14:textId="77777777" w:rsidR="00D76797" w:rsidRDefault="00A64A76" w:rsidP="00BA4AA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 xml:space="preserve">CORPORATE PRIORITY: </w:t>
      </w:r>
      <w:r w:rsidR="00D76797" w:rsidRPr="00BA4AA1">
        <w:rPr>
          <w:rFonts w:ascii="Arial" w:hAnsi="Arial" w:cs="Arial"/>
          <w:b/>
          <w:color w:val="000000" w:themeColor="text1"/>
          <w:sz w:val="24"/>
          <w:szCs w:val="24"/>
        </w:rPr>
        <w:t>Clean and Green Oxford</w:t>
      </w:r>
    </w:p>
    <w:p w14:paraId="7E3A3076" w14:textId="77777777" w:rsidR="00A64A76" w:rsidRPr="00BA4AA1" w:rsidRDefault="00A64A76" w:rsidP="00BA4AA1">
      <w:pPr>
        <w:spacing w:after="0" w:line="240" w:lineRule="auto"/>
        <w:rPr>
          <w:rFonts w:ascii="Arial" w:hAnsi="Arial" w:cs="Arial"/>
          <w:b/>
          <w:color w:val="000000" w:themeColor="text1"/>
          <w:sz w:val="24"/>
          <w:szCs w:val="24"/>
        </w:rPr>
      </w:pPr>
    </w:p>
    <w:tbl>
      <w:tblPr>
        <w:tblStyle w:val="TableGrid"/>
        <w:tblW w:w="14737" w:type="dxa"/>
        <w:tblLook w:val="04A0" w:firstRow="1" w:lastRow="0" w:firstColumn="1" w:lastColumn="0" w:noHBand="0" w:noVBand="1"/>
      </w:tblPr>
      <w:tblGrid>
        <w:gridCol w:w="5382"/>
        <w:gridCol w:w="9355"/>
      </w:tblGrid>
      <w:tr w:rsidR="00B354BD" w:rsidRPr="00BA4AA1" w14:paraId="589B4369" w14:textId="77777777" w:rsidTr="00056D26">
        <w:tc>
          <w:tcPr>
            <w:tcW w:w="5382" w:type="dxa"/>
          </w:tcPr>
          <w:p w14:paraId="1962279D" w14:textId="77777777" w:rsidR="00B354BD" w:rsidRPr="00BA4AA1" w:rsidRDefault="00B354BD" w:rsidP="00BA4AA1">
            <w:pPr>
              <w:rPr>
                <w:rFonts w:ascii="Arial" w:hAnsi="Arial" w:cs="Arial"/>
                <w:b/>
                <w:color w:val="000000" w:themeColor="text1"/>
                <w:sz w:val="24"/>
                <w:szCs w:val="24"/>
              </w:rPr>
            </w:pPr>
            <w:r w:rsidRPr="00BA4AA1">
              <w:rPr>
                <w:rFonts w:ascii="Arial" w:hAnsi="Arial" w:cs="Arial"/>
                <w:b/>
                <w:color w:val="000000" w:themeColor="text1"/>
                <w:sz w:val="24"/>
                <w:szCs w:val="24"/>
              </w:rPr>
              <w:t>Areas of Focus 2019–2020</w:t>
            </w:r>
          </w:p>
        </w:tc>
        <w:tc>
          <w:tcPr>
            <w:tcW w:w="9355" w:type="dxa"/>
          </w:tcPr>
          <w:p w14:paraId="6596788A" w14:textId="77777777" w:rsidR="00B354BD" w:rsidRPr="00BA4AA1" w:rsidRDefault="00B354BD" w:rsidP="00BA4AA1">
            <w:pPr>
              <w:rPr>
                <w:rFonts w:ascii="Arial" w:hAnsi="Arial" w:cs="Arial"/>
                <w:b/>
                <w:color w:val="000000" w:themeColor="text1"/>
                <w:sz w:val="24"/>
                <w:szCs w:val="24"/>
              </w:rPr>
            </w:pPr>
            <w:r w:rsidRPr="00BA4AA1">
              <w:rPr>
                <w:rFonts w:ascii="Arial" w:hAnsi="Arial" w:cs="Arial"/>
                <w:b/>
                <w:color w:val="000000" w:themeColor="text1"/>
                <w:sz w:val="24"/>
                <w:szCs w:val="24"/>
              </w:rPr>
              <w:t>Outcome</w:t>
            </w:r>
          </w:p>
        </w:tc>
      </w:tr>
      <w:tr w:rsidR="00B354BD" w:rsidRPr="00BA4AA1" w14:paraId="606A935F" w14:textId="77777777" w:rsidTr="00056D26">
        <w:tc>
          <w:tcPr>
            <w:tcW w:w="5382" w:type="dxa"/>
          </w:tcPr>
          <w:p w14:paraId="577607F5" w14:textId="77777777" w:rsidR="00B354BD" w:rsidRPr="00BA4AA1" w:rsidRDefault="00B354BD" w:rsidP="0084184E">
            <w:pPr>
              <w:rPr>
                <w:rFonts w:ascii="Arial" w:hAnsi="Arial" w:cs="Arial"/>
                <w:b/>
                <w:color w:val="000000" w:themeColor="text1"/>
                <w:sz w:val="24"/>
                <w:szCs w:val="24"/>
              </w:rPr>
            </w:pPr>
            <w:r w:rsidRPr="00BA4AA1">
              <w:rPr>
                <w:rFonts w:ascii="Arial" w:hAnsi="Arial" w:cs="Arial"/>
                <w:color w:val="000000" w:themeColor="text1"/>
                <w:sz w:val="24"/>
                <w:szCs w:val="24"/>
              </w:rPr>
              <w:t>Detailed work in partnership with the County Council on implementation plans for the Zero Emission Zone 2020 and further public consultation on the final proposals.</w:t>
            </w:r>
          </w:p>
        </w:tc>
        <w:tc>
          <w:tcPr>
            <w:tcW w:w="9355" w:type="dxa"/>
          </w:tcPr>
          <w:p w14:paraId="661C22A9" w14:textId="77777777" w:rsidR="00B354BD" w:rsidRPr="00B354BD" w:rsidRDefault="00B354BD" w:rsidP="0084184E">
            <w:pPr>
              <w:rPr>
                <w:rFonts w:ascii="Arial" w:hAnsi="Arial" w:cs="Arial"/>
                <w:color w:val="000000" w:themeColor="text1"/>
                <w:sz w:val="24"/>
                <w:szCs w:val="24"/>
              </w:rPr>
            </w:pPr>
            <w:r w:rsidRPr="00BA4AA1">
              <w:rPr>
                <w:rFonts w:ascii="Arial" w:hAnsi="Arial" w:cs="Arial"/>
                <w:color w:val="000000" w:themeColor="text1"/>
                <w:sz w:val="24"/>
                <w:szCs w:val="24"/>
              </w:rPr>
              <w:t xml:space="preserve">Two further rounds of public consultation were undertaken which further refined details for the implementation of the first phase of the Zero Emission Zone in Oxford city centre in </w:t>
            </w:r>
            <w:r w:rsidRPr="0084184E">
              <w:rPr>
                <w:rFonts w:ascii="Arial" w:hAnsi="Arial" w:cs="Arial"/>
                <w:color w:val="000000" w:themeColor="text1"/>
                <w:sz w:val="24"/>
                <w:szCs w:val="24"/>
              </w:rPr>
              <w:t>December 2020.</w:t>
            </w:r>
            <w:r w:rsidR="00C8660B" w:rsidRPr="0084184E">
              <w:rPr>
                <w:rFonts w:ascii="Arial" w:hAnsi="Arial" w:cs="Arial"/>
                <w:color w:val="000000" w:themeColor="text1"/>
                <w:sz w:val="24"/>
                <w:szCs w:val="24"/>
              </w:rPr>
              <w:t xml:space="preserve"> With the impact of COVID-19 and following en</w:t>
            </w:r>
            <w:r w:rsidR="0084184E">
              <w:rPr>
                <w:rFonts w:ascii="Arial" w:hAnsi="Arial" w:cs="Arial"/>
                <w:color w:val="000000" w:themeColor="text1"/>
                <w:sz w:val="24"/>
                <w:szCs w:val="24"/>
              </w:rPr>
              <w:t>g</w:t>
            </w:r>
            <w:r w:rsidR="00C8660B" w:rsidRPr="0084184E">
              <w:rPr>
                <w:rFonts w:ascii="Arial" w:hAnsi="Arial" w:cs="Arial"/>
                <w:color w:val="000000" w:themeColor="text1"/>
                <w:sz w:val="24"/>
                <w:szCs w:val="24"/>
              </w:rPr>
              <w:t xml:space="preserve">agement with city centre businesses, the City Council and Oxfordshire County Council suspended the </w:t>
            </w:r>
            <w:r w:rsidR="0084184E" w:rsidRPr="0084184E">
              <w:rPr>
                <w:rFonts w:ascii="Arial" w:hAnsi="Arial" w:cs="Arial"/>
                <w:color w:val="000000" w:themeColor="text1"/>
                <w:sz w:val="24"/>
                <w:szCs w:val="24"/>
              </w:rPr>
              <w:t>formal consultation on implementation of the Red Zone of the ZEZ, confirming they planned for it to resume</w:t>
            </w:r>
            <w:r w:rsidR="0084184E" w:rsidRPr="0084184E">
              <w:rPr>
                <w:rFonts w:ascii="Arial" w:hAnsi="Arial" w:cs="Arial"/>
                <w:color w:val="37474F"/>
                <w:sz w:val="24"/>
                <w:szCs w:val="24"/>
                <w:shd w:val="clear" w:color="auto" w:fill="FFFFFF"/>
              </w:rPr>
              <w:t xml:space="preserve"> in late 2020, </w:t>
            </w:r>
            <w:r w:rsidR="0084184E">
              <w:rPr>
                <w:rFonts w:ascii="Arial" w:hAnsi="Arial" w:cs="Arial"/>
                <w:color w:val="37474F"/>
                <w:sz w:val="24"/>
                <w:szCs w:val="24"/>
                <w:shd w:val="clear" w:color="auto" w:fill="FFFFFF"/>
              </w:rPr>
              <w:t>with a</w:t>
            </w:r>
            <w:r w:rsidR="0084184E" w:rsidRPr="0084184E">
              <w:rPr>
                <w:rFonts w:ascii="Arial" w:hAnsi="Arial" w:cs="Arial"/>
                <w:color w:val="37474F"/>
                <w:sz w:val="24"/>
                <w:szCs w:val="24"/>
                <w:shd w:val="clear" w:color="auto" w:fill="FFFFFF"/>
              </w:rPr>
              <w:t xml:space="preserve"> view to implement the scheme in </w:t>
            </w:r>
            <w:r w:rsidR="0084184E">
              <w:rPr>
                <w:rFonts w:ascii="Arial" w:hAnsi="Arial" w:cs="Arial"/>
                <w:color w:val="37474F"/>
                <w:sz w:val="24"/>
                <w:szCs w:val="24"/>
                <w:shd w:val="clear" w:color="auto" w:fill="FFFFFF"/>
              </w:rPr>
              <w:t>summer</w:t>
            </w:r>
            <w:r w:rsidR="0084184E" w:rsidRPr="0084184E">
              <w:rPr>
                <w:rFonts w:ascii="Arial" w:hAnsi="Arial" w:cs="Arial"/>
                <w:color w:val="37474F"/>
                <w:sz w:val="24"/>
                <w:szCs w:val="24"/>
                <w:shd w:val="clear" w:color="auto" w:fill="FFFFFF"/>
              </w:rPr>
              <w:t xml:space="preserve"> 2021.</w:t>
            </w:r>
            <w:r w:rsidR="0084184E">
              <w:rPr>
                <w:rFonts w:ascii="Arial" w:hAnsi="Arial" w:cs="Arial"/>
                <w:color w:val="000000" w:themeColor="text1"/>
                <w:sz w:val="24"/>
                <w:szCs w:val="24"/>
              </w:rPr>
              <w:t xml:space="preserve"> </w:t>
            </w:r>
            <w:r w:rsidR="00C8660B">
              <w:rPr>
                <w:rFonts w:ascii="Arial" w:hAnsi="Arial" w:cs="Arial"/>
                <w:color w:val="000000" w:themeColor="text1"/>
                <w:sz w:val="24"/>
                <w:szCs w:val="24"/>
              </w:rPr>
              <w:t xml:space="preserve"> </w:t>
            </w:r>
          </w:p>
        </w:tc>
      </w:tr>
      <w:tr w:rsidR="00B354BD" w:rsidRPr="00BA4AA1" w14:paraId="0B010455" w14:textId="77777777" w:rsidTr="00056D26">
        <w:tc>
          <w:tcPr>
            <w:tcW w:w="5382" w:type="dxa"/>
          </w:tcPr>
          <w:p w14:paraId="73A48584"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Continue to promote the uptake of low emission vehicles through the delivery of E</w:t>
            </w:r>
            <w:r w:rsidR="003078E7">
              <w:rPr>
                <w:rFonts w:ascii="Arial" w:hAnsi="Arial" w:cs="Arial"/>
                <w:color w:val="000000" w:themeColor="text1"/>
                <w:sz w:val="24"/>
                <w:szCs w:val="24"/>
              </w:rPr>
              <w:t xml:space="preserve">lectric </w:t>
            </w:r>
            <w:r w:rsidRPr="00BA4AA1">
              <w:rPr>
                <w:rFonts w:ascii="Arial" w:hAnsi="Arial" w:cs="Arial"/>
                <w:color w:val="000000" w:themeColor="text1"/>
                <w:sz w:val="24"/>
                <w:szCs w:val="24"/>
              </w:rPr>
              <w:t>V</w:t>
            </w:r>
            <w:r w:rsidR="003078E7">
              <w:rPr>
                <w:rFonts w:ascii="Arial" w:hAnsi="Arial" w:cs="Arial"/>
                <w:color w:val="000000" w:themeColor="text1"/>
                <w:sz w:val="24"/>
                <w:szCs w:val="24"/>
              </w:rPr>
              <w:t>ehicle (EV)</w:t>
            </w:r>
            <w:r w:rsidRPr="00BA4AA1">
              <w:rPr>
                <w:rFonts w:ascii="Arial" w:hAnsi="Arial" w:cs="Arial"/>
                <w:color w:val="000000" w:themeColor="text1"/>
                <w:sz w:val="24"/>
                <w:szCs w:val="24"/>
              </w:rPr>
              <w:t xml:space="preserve"> on-street charging and EV taxi charging infrastructure, and through the second</w:t>
            </w:r>
          </w:p>
          <w:p w14:paraId="09A30946"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Oxford EV summit.</w:t>
            </w:r>
          </w:p>
        </w:tc>
        <w:tc>
          <w:tcPr>
            <w:tcW w:w="9355" w:type="dxa"/>
          </w:tcPr>
          <w:p w14:paraId="4EA780B2"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The Community Safety Service supported the LEV agenda by changing the Council’s taxi policy to ensure hackney vehicles are all electric by 2025</w:t>
            </w:r>
            <w:r w:rsidRPr="00BA4AA1">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and </w:t>
            </w:r>
            <w:r w:rsidRPr="00BA4AA1">
              <w:rPr>
                <w:rFonts w:ascii="Arial" w:eastAsia="Calibri" w:hAnsi="Arial" w:cs="Arial"/>
                <w:color w:val="000000" w:themeColor="text1"/>
                <w:sz w:val="24"/>
                <w:szCs w:val="24"/>
              </w:rPr>
              <w:t xml:space="preserve">the first Fast Charger </w:t>
            </w:r>
            <w:r w:rsidR="003078E7">
              <w:rPr>
                <w:rFonts w:ascii="Arial" w:eastAsia="Calibri" w:hAnsi="Arial" w:cs="Arial"/>
                <w:color w:val="000000" w:themeColor="text1"/>
                <w:sz w:val="24"/>
                <w:szCs w:val="24"/>
              </w:rPr>
              <w:t xml:space="preserve">for EV taxis was installed </w:t>
            </w:r>
            <w:r w:rsidRPr="00BA4AA1">
              <w:rPr>
                <w:rFonts w:ascii="Arial" w:eastAsia="Calibri" w:hAnsi="Arial" w:cs="Arial"/>
                <w:color w:val="000000" w:themeColor="text1"/>
                <w:sz w:val="24"/>
                <w:szCs w:val="24"/>
              </w:rPr>
              <w:t>at Manzil way</w:t>
            </w:r>
            <w:r>
              <w:rPr>
                <w:rFonts w:ascii="Arial" w:hAnsi="Arial" w:cs="Arial"/>
                <w:color w:val="000000" w:themeColor="text1"/>
                <w:sz w:val="24"/>
                <w:szCs w:val="24"/>
              </w:rPr>
              <w:t xml:space="preserve">. </w:t>
            </w:r>
            <w:r w:rsidRPr="00BA4AA1">
              <w:rPr>
                <w:rFonts w:ascii="Arial" w:eastAsia="Calibri" w:hAnsi="Arial" w:cs="Arial"/>
                <w:color w:val="000000" w:themeColor="text1"/>
                <w:sz w:val="24"/>
                <w:szCs w:val="24"/>
              </w:rPr>
              <w:t>A</w:t>
            </w:r>
            <w:r w:rsidR="003078E7">
              <w:rPr>
                <w:rFonts w:ascii="Arial" w:eastAsia="Calibri" w:hAnsi="Arial" w:cs="Arial"/>
                <w:color w:val="000000" w:themeColor="text1"/>
                <w:sz w:val="24"/>
                <w:szCs w:val="24"/>
              </w:rPr>
              <w:t xml:space="preserve"> successful EV summit was held, and an EV o</w:t>
            </w:r>
            <w:r w:rsidRPr="00BA4AA1">
              <w:rPr>
                <w:rFonts w:ascii="Arial" w:eastAsia="Calibri" w:hAnsi="Arial" w:cs="Arial"/>
                <w:color w:val="000000" w:themeColor="text1"/>
                <w:sz w:val="24"/>
                <w:szCs w:val="24"/>
              </w:rPr>
              <w:t>n</w:t>
            </w:r>
            <w:r w:rsidR="003078E7">
              <w:rPr>
                <w:rFonts w:ascii="Arial" w:eastAsia="Calibri" w:hAnsi="Arial" w:cs="Arial"/>
                <w:color w:val="000000" w:themeColor="text1"/>
                <w:sz w:val="24"/>
                <w:szCs w:val="24"/>
              </w:rPr>
              <w:t>-</w:t>
            </w:r>
            <w:r w:rsidRPr="00BA4AA1">
              <w:rPr>
                <w:rFonts w:ascii="Arial" w:eastAsia="Calibri" w:hAnsi="Arial" w:cs="Arial"/>
                <w:color w:val="000000" w:themeColor="text1"/>
                <w:sz w:val="24"/>
                <w:szCs w:val="24"/>
              </w:rPr>
              <w:t>street pilot phase completed and learning report published</w:t>
            </w:r>
            <w:r w:rsidR="003078E7">
              <w:rPr>
                <w:rFonts w:ascii="Arial" w:eastAsia="Calibri" w:hAnsi="Arial" w:cs="Arial"/>
                <w:color w:val="000000" w:themeColor="text1"/>
                <w:sz w:val="24"/>
                <w:szCs w:val="24"/>
              </w:rPr>
              <w:t>.</w:t>
            </w:r>
          </w:p>
        </w:tc>
      </w:tr>
      <w:tr w:rsidR="00B354BD" w:rsidRPr="00BA4AA1" w14:paraId="62F50E3D" w14:textId="77777777" w:rsidTr="00056D26">
        <w:tc>
          <w:tcPr>
            <w:tcW w:w="5382" w:type="dxa"/>
          </w:tcPr>
          <w:p w14:paraId="410FF849"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Continue to improve homes for tenants through a programme of energy efficiency and refurbishment work, provision of energy advice and information to residents, and regeneration of our estates.</w:t>
            </w:r>
          </w:p>
        </w:tc>
        <w:tc>
          <w:tcPr>
            <w:tcW w:w="9355" w:type="dxa"/>
          </w:tcPr>
          <w:p w14:paraId="1CB4E655" w14:textId="77777777" w:rsidR="00B354BD" w:rsidRPr="003078E7" w:rsidRDefault="003078E7" w:rsidP="003078E7">
            <w:pPr>
              <w:rPr>
                <w:rFonts w:ascii="Arial" w:hAnsi="Arial" w:cs="Arial"/>
                <w:color w:val="000000" w:themeColor="text1"/>
                <w:sz w:val="24"/>
                <w:szCs w:val="24"/>
              </w:rPr>
            </w:pPr>
            <w:r>
              <w:rPr>
                <w:rFonts w:ascii="Arial" w:eastAsia="Calibri" w:hAnsi="Arial" w:cs="Arial"/>
                <w:color w:val="000000" w:themeColor="text1"/>
                <w:sz w:val="24"/>
                <w:szCs w:val="24"/>
              </w:rPr>
              <w:t xml:space="preserve">We are continuing to </w:t>
            </w:r>
            <w:r w:rsidR="00B354BD" w:rsidRPr="003078E7">
              <w:rPr>
                <w:rFonts w:ascii="Arial" w:eastAsia="Calibri" w:hAnsi="Arial" w:cs="Arial"/>
                <w:color w:val="000000" w:themeColor="text1"/>
                <w:sz w:val="24"/>
                <w:szCs w:val="24"/>
              </w:rPr>
              <w:t>assess the energy efficiency of our housing stock to understand what improvement works are required to improve energy rating of C or greater</w:t>
            </w:r>
            <w:r>
              <w:rPr>
                <w:rFonts w:ascii="Arial" w:eastAsia="Calibri" w:hAnsi="Arial" w:cs="Arial"/>
                <w:color w:val="000000" w:themeColor="text1"/>
                <w:sz w:val="24"/>
                <w:szCs w:val="24"/>
              </w:rPr>
              <w:t>.</w:t>
            </w:r>
            <w:r w:rsidRPr="003078E7">
              <w:rPr>
                <w:rFonts w:ascii="Arial" w:eastAsia="Calibri" w:hAnsi="Arial" w:cs="Arial"/>
                <w:color w:val="000000" w:themeColor="text1"/>
                <w:sz w:val="24"/>
                <w:szCs w:val="24"/>
              </w:rPr>
              <w:t xml:space="preserve"> Our Energy Advice Officers have continued to provide advice to our tenants and increase tenant resilience to fuel poverty</w:t>
            </w:r>
            <w:r>
              <w:rPr>
                <w:rFonts w:ascii="Arial" w:eastAsia="Calibri" w:hAnsi="Arial" w:cs="Arial"/>
                <w:color w:val="000000" w:themeColor="text1"/>
                <w:sz w:val="24"/>
                <w:szCs w:val="24"/>
              </w:rPr>
              <w:t xml:space="preserve">. </w:t>
            </w:r>
            <w:r w:rsidR="00B354BD" w:rsidRPr="003078E7">
              <w:rPr>
                <w:rFonts w:ascii="Arial" w:eastAsia="Calibri" w:hAnsi="Arial" w:cs="Arial"/>
                <w:color w:val="000000" w:themeColor="text1"/>
                <w:sz w:val="24"/>
                <w:szCs w:val="24"/>
              </w:rPr>
              <w:t>The Great Estates project to improve our estates and communities has continued to deliver improvements in Barton and Blackbird Leys, including bin stores and washing facilities as well as upgrades to parking schemes.</w:t>
            </w:r>
            <w:r>
              <w:rPr>
                <w:rFonts w:ascii="Arial" w:eastAsia="Calibri" w:hAnsi="Arial" w:cs="Arial"/>
                <w:color w:val="000000" w:themeColor="text1"/>
                <w:sz w:val="24"/>
                <w:szCs w:val="24"/>
              </w:rPr>
              <w:t xml:space="preserve"> </w:t>
            </w:r>
          </w:p>
        </w:tc>
      </w:tr>
      <w:tr w:rsidR="00B354BD" w:rsidRPr="00BA4AA1" w14:paraId="4FE0B670" w14:textId="77777777" w:rsidTr="00056D26">
        <w:tc>
          <w:tcPr>
            <w:tcW w:w="5382" w:type="dxa"/>
          </w:tcPr>
          <w:p w14:paraId="6E301F50"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Develop a multi-agency enforcement approach to prohibiting landlords from renting out poor energy-rated properties.</w:t>
            </w:r>
          </w:p>
        </w:tc>
        <w:tc>
          <w:tcPr>
            <w:tcW w:w="9355" w:type="dxa"/>
          </w:tcPr>
          <w:p w14:paraId="472E2225" w14:textId="77777777" w:rsidR="00B354BD" w:rsidRPr="00BA4AA1" w:rsidRDefault="00B354BD" w:rsidP="00952C77">
            <w:pPr>
              <w:rPr>
                <w:rFonts w:ascii="Arial" w:hAnsi="Arial" w:cs="Arial"/>
                <w:color w:val="000000" w:themeColor="text1"/>
                <w:sz w:val="24"/>
                <w:szCs w:val="24"/>
              </w:rPr>
            </w:pPr>
            <w:r w:rsidRPr="00BA4AA1">
              <w:rPr>
                <w:rFonts w:ascii="Arial" w:hAnsi="Arial" w:cs="Arial"/>
                <w:color w:val="000000" w:themeColor="text1"/>
                <w:sz w:val="24"/>
                <w:szCs w:val="24"/>
              </w:rPr>
              <w:t>The Council became the first in the UK to have powers delegated to it from a County Council to take action against landlords for not having an E</w:t>
            </w:r>
            <w:r w:rsidR="00952C77">
              <w:rPr>
                <w:rFonts w:ascii="Arial" w:hAnsi="Arial" w:cs="Arial"/>
                <w:color w:val="000000" w:themeColor="text1"/>
                <w:sz w:val="24"/>
                <w:szCs w:val="24"/>
              </w:rPr>
              <w:t xml:space="preserve">nergy </w:t>
            </w:r>
            <w:r w:rsidRPr="00BA4AA1">
              <w:rPr>
                <w:rFonts w:ascii="Arial" w:hAnsi="Arial" w:cs="Arial"/>
                <w:color w:val="000000" w:themeColor="text1"/>
                <w:sz w:val="24"/>
                <w:szCs w:val="24"/>
              </w:rPr>
              <w:t>P</w:t>
            </w:r>
            <w:r w:rsidR="00952C77">
              <w:rPr>
                <w:rFonts w:ascii="Arial" w:hAnsi="Arial" w:cs="Arial"/>
                <w:color w:val="000000" w:themeColor="text1"/>
                <w:sz w:val="24"/>
                <w:szCs w:val="24"/>
              </w:rPr>
              <w:t xml:space="preserve">erformance </w:t>
            </w:r>
            <w:r w:rsidRPr="00BA4AA1">
              <w:rPr>
                <w:rFonts w:ascii="Arial" w:hAnsi="Arial" w:cs="Arial"/>
                <w:color w:val="000000" w:themeColor="text1"/>
                <w:sz w:val="24"/>
                <w:szCs w:val="24"/>
              </w:rPr>
              <w:t>C</w:t>
            </w:r>
            <w:r w:rsidR="00952C77">
              <w:rPr>
                <w:rFonts w:ascii="Arial" w:hAnsi="Arial" w:cs="Arial"/>
                <w:color w:val="000000" w:themeColor="text1"/>
                <w:sz w:val="24"/>
                <w:szCs w:val="24"/>
              </w:rPr>
              <w:t>ertificate (EPC)</w:t>
            </w:r>
            <w:r w:rsidRPr="00BA4AA1">
              <w:rPr>
                <w:rFonts w:ascii="Arial" w:hAnsi="Arial" w:cs="Arial"/>
                <w:color w:val="000000" w:themeColor="text1"/>
                <w:sz w:val="24"/>
                <w:szCs w:val="24"/>
              </w:rPr>
              <w:t xml:space="preserve"> when legally required. We used £150k of a successful bid for government funding to develop an enforcement approach with partner agencies and we contacted 13,465 properties suspected to be in the </w:t>
            </w:r>
            <w:r w:rsidR="00952C77">
              <w:rPr>
                <w:rFonts w:ascii="Arial" w:hAnsi="Arial" w:cs="Arial"/>
                <w:color w:val="000000" w:themeColor="text1"/>
                <w:sz w:val="24"/>
                <w:szCs w:val="24"/>
              </w:rPr>
              <w:t>private rented sector</w:t>
            </w:r>
            <w:r w:rsidRPr="00BA4AA1">
              <w:rPr>
                <w:rFonts w:ascii="Arial" w:hAnsi="Arial" w:cs="Arial"/>
                <w:color w:val="000000" w:themeColor="text1"/>
                <w:sz w:val="24"/>
                <w:szCs w:val="24"/>
              </w:rPr>
              <w:t xml:space="preserve"> to test an algorithm to identify privately rented stock. Legal action using energy legislation was commenced against 8 properties.</w:t>
            </w:r>
          </w:p>
        </w:tc>
      </w:tr>
      <w:tr w:rsidR="00B354BD" w:rsidRPr="00BA4AA1" w14:paraId="7E2C4027" w14:textId="77777777" w:rsidTr="00056D26">
        <w:tc>
          <w:tcPr>
            <w:tcW w:w="5382" w:type="dxa"/>
          </w:tcPr>
          <w:p w14:paraId="7AC3CE16"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 xml:space="preserve">Take forward energy efficiency work to ensure all commercial leased properties achieve compliance to the minimum energy efficiency </w:t>
            </w:r>
            <w:r w:rsidRPr="00BA4AA1">
              <w:rPr>
                <w:rFonts w:ascii="Arial" w:hAnsi="Arial" w:cs="Arial"/>
                <w:color w:val="000000" w:themeColor="text1"/>
                <w:sz w:val="24"/>
                <w:szCs w:val="24"/>
              </w:rPr>
              <w:lastRenderedPageBreak/>
              <w:t>standard concentrating on heating and insulation.</w:t>
            </w:r>
          </w:p>
        </w:tc>
        <w:tc>
          <w:tcPr>
            <w:tcW w:w="9355" w:type="dxa"/>
          </w:tcPr>
          <w:p w14:paraId="44C6154F"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 xml:space="preserve">A half a day event to promote compliance was held for commercial agents and landlords and was attended by 70 people and an agency agreement is being developed with the County Council to progress future enforcement activity in this area. </w:t>
            </w:r>
          </w:p>
        </w:tc>
      </w:tr>
      <w:tr w:rsidR="00B354BD" w:rsidRPr="00BA4AA1" w14:paraId="1C59B400" w14:textId="77777777" w:rsidTr="00056D26">
        <w:tc>
          <w:tcPr>
            <w:tcW w:w="5382" w:type="dxa"/>
          </w:tcPr>
          <w:p w14:paraId="02A60AD0"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Convene a Citizens</w:t>
            </w:r>
            <w:r w:rsidR="00952C77">
              <w:rPr>
                <w:rFonts w:ascii="Arial" w:hAnsi="Arial" w:cs="Arial"/>
                <w:color w:val="000000" w:themeColor="text1"/>
                <w:sz w:val="24"/>
                <w:szCs w:val="24"/>
              </w:rPr>
              <w:t>’</w:t>
            </w:r>
            <w:r w:rsidRPr="00BA4AA1">
              <w:rPr>
                <w:rFonts w:ascii="Arial" w:hAnsi="Arial" w:cs="Arial"/>
                <w:color w:val="000000" w:themeColor="text1"/>
                <w:sz w:val="24"/>
                <w:szCs w:val="24"/>
              </w:rPr>
              <w:t xml:space="preserve"> Assembly in Oxford to help consider additional carbon reduction measures to address the climate emergency.</w:t>
            </w:r>
          </w:p>
        </w:tc>
        <w:tc>
          <w:tcPr>
            <w:tcW w:w="9355" w:type="dxa"/>
          </w:tcPr>
          <w:p w14:paraId="36F97DBE" w14:textId="77777777" w:rsidR="00B354BD" w:rsidRPr="00BA4AA1" w:rsidRDefault="00B354BD"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Oxford was the first UK city to convene a Citizens’ Assembly on climate change in September and October 2019, with 42 residents setting out their views that the city should aim to achieve ‘net zero’ carbon emissions sooner than the Government’s target of 2050.</w:t>
            </w:r>
          </w:p>
        </w:tc>
      </w:tr>
      <w:tr w:rsidR="00B354BD" w:rsidRPr="00BA4AA1" w14:paraId="15FDA610" w14:textId="77777777" w:rsidTr="00056D26">
        <w:tc>
          <w:tcPr>
            <w:tcW w:w="5382" w:type="dxa"/>
          </w:tcPr>
          <w:p w14:paraId="385B238A"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Work with partners to develop longer term carbon targets for the city and consult on an Oxford City Council Sustainability Strategy which will help set a course to a 2050 zero carbon future for the city.</w:t>
            </w:r>
          </w:p>
        </w:tc>
        <w:tc>
          <w:tcPr>
            <w:tcW w:w="9355" w:type="dxa"/>
          </w:tcPr>
          <w:p w14:paraId="1B6F402C" w14:textId="77777777" w:rsidR="00B354BD" w:rsidRPr="00BA4AA1" w:rsidRDefault="00952C77" w:rsidP="00952C77">
            <w:pPr>
              <w:rPr>
                <w:rFonts w:ascii="Arial" w:eastAsia="Calibri" w:hAnsi="Arial" w:cs="Arial"/>
                <w:color w:val="000000" w:themeColor="text1"/>
                <w:sz w:val="24"/>
                <w:szCs w:val="24"/>
                <w:highlight w:val="yellow"/>
              </w:rPr>
            </w:pPr>
            <w:r w:rsidRPr="00952C77">
              <w:rPr>
                <w:rFonts w:ascii="Arial" w:eastAsia="Calibri" w:hAnsi="Arial" w:cs="Arial"/>
                <w:color w:val="000000" w:themeColor="text1"/>
                <w:sz w:val="24"/>
                <w:szCs w:val="24"/>
              </w:rPr>
              <w:t>An initial response to the Citizens’ Assembly on Climate Change set out 53 actions that are being taken forward to help cut carbon emissions across the city. The findings from the Citizens’ Assembly are also being used to shape the Council’s Sustainability Strategy.</w:t>
            </w:r>
          </w:p>
        </w:tc>
      </w:tr>
      <w:tr w:rsidR="00B354BD" w:rsidRPr="00BA4AA1" w14:paraId="662A5CE3" w14:textId="77777777" w:rsidTr="00056D26">
        <w:tc>
          <w:tcPr>
            <w:tcW w:w="5382" w:type="dxa"/>
          </w:tcPr>
          <w:p w14:paraId="3ED871A1"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Continue to work with the Environment Agency to deliver the Oxford Flood</w:t>
            </w:r>
            <w:r w:rsidR="00952C77">
              <w:rPr>
                <w:rFonts w:ascii="Arial" w:hAnsi="Arial" w:cs="Arial"/>
                <w:color w:val="000000" w:themeColor="text1"/>
                <w:sz w:val="24"/>
                <w:szCs w:val="24"/>
              </w:rPr>
              <w:t xml:space="preserve"> Alleviation Scheme (OFAS).</w:t>
            </w:r>
          </w:p>
        </w:tc>
        <w:tc>
          <w:tcPr>
            <w:tcW w:w="9355" w:type="dxa"/>
          </w:tcPr>
          <w:p w14:paraId="108C01B6" w14:textId="77777777" w:rsidR="00B354BD" w:rsidRPr="00BA4AA1" w:rsidRDefault="00952C77" w:rsidP="00952C77">
            <w:pPr>
              <w:rPr>
                <w:rFonts w:ascii="Arial" w:hAnsi="Arial" w:cs="Arial"/>
                <w:color w:val="000000" w:themeColor="text1"/>
                <w:sz w:val="24"/>
                <w:szCs w:val="24"/>
              </w:rPr>
            </w:pPr>
            <w:r>
              <w:rPr>
                <w:rFonts w:ascii="Arial" w:eastAsia="Calibri" w:hAnsi="Arial" w:cs="Arial"/>
                <w:color w:val="000000" w:themeColor="text1"/>
                <w:sz w:val="24"/>
                <w:szCs w:val="24"/>
              </w:rPr>
              <w:t xml:space="preserve">OFAS is </w:t>
            </w:r>
            <w:r w:rsidR="00B354BD" w:rsidRPr="00BA4AA1">
              <w:rPr>
                <w:rFonts w:ascii="Arial" w:eastAsia="Calibri" w:hAnsi="Arial" w:cs="Arial"/>
                <w:color w:val="000000" w:themeColor="text1"/>
                <w:sz w:val="24"/>
                <w:szCs w:val="24"/>
              </w:rPr>
              <w:t xml:space="preserve">progressing, but delayed due to </w:t>
            </w:r>
            <w:r>
              <w:rPr>
                <w:rFonts w:ascii="Arial" w:eastAsia="Calibri" w:hAnsi="Arial" w:cs="Arial"/>
                <w:color w:val="000000" w:themeColor="text1"/>
                <w:sz w:val="24"/>
                <w:szCs w:val="24"/>
              </w:rPr>
              <w:t xml:space="preserve">Oxfordshire </w:t>
            </w:r>
            <w:r w:rsidR="00B354BD" w:rsidRPr="00BA4AA1">
              <w:rPr>
                <w:rFonts w:ascii="Arial" w:eastAsia="Calibri" w:hAnsi="Arial" w:cs="Arial"/>
                <w:color w:val="000000" w:themeColor="text1"/>
                <w:sz w:val="24"/>
                <w:szCs w:val="24"/>
              </w:rPr>
              <w:t>County Council bridge work</w:t>
            </w:r>
            <w:r>
              <w:rPr>
                <w:rFonts w:ascii="Arial" w:eastAsia="Calibri" w:hAnsi="Arial" w:cs="Arial"/>
                <w:color w:val="000000" w:themeColor="text1"/>
                <w:sz w:val="24"/>
                <w:szCs w:val="24"/>
              </w:rPr>
              <w:t>.</w:t>
            </w:r>
          </w:p>
        </w:tc>
      </w:tr>
      <w:tr w:rsidR="00B354BD" w:rsidRPr="00BA4AA1" w14:paraId="7CF9FD9A" w14:textId="77777777" w:rsidTr="00056D26">
        <w:tc>
          <w:tcPr>
            <w:tcW w:w="5382" w:type="dxa"/>
          </w:tcPr>
          <w:p w14:paraId="023A4C08"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Develop a programme to encourage a reduction in the use of single-use plastics within the Council among our suppliers.</w:t>
            </w:r>
          </w:p>
        </w:tc>
        <w:tc>
          <w:tcPr>
            <w:tcW w:w="9355" w:type="dxa"/>
          </w:tcPr>
          <w:p w14:paraId="11838109" w14:textId="77777777" w:rsidR="00B354BD" w:rsidRPr="00BA4AA1" w:rsidRDefault="00B354BD" w:rsidP="00952C77">
            <w:pPr>
              <w:rPr>
                <w:rFonts w:ascii="Arial" w:hAnsi="Arial" w:cs="Arial"/>
                <w:color w:val="000000" w:themeColor="text1"/>
                <w:sz w:val="24"/>
                <w:szCs w:val="24"/>
              </w:rPr>
            </w:pPr>
            <w:r w:rsidRPr="00BA4AA1">
              <w:rPr>
                <w:rFonts w:ascii="Arial" w:hAnsi="Arial" w:cs="Arial"/>
                <w:color w:val="000000" w:themeColor="text1"/>
                <w:sz w:val="24"/>
                <w:szCs w:val="24"/>
              </w:rPr>
              <w:t xml:space="preserve">ODS </w:t>
            </w:r>
            <w:r w:rsidR="00952C77">
              <w:rPr>
                <w:rFonts w:ascii="Arial" w:hAnsi="Arial" w:cs="Arial"/>
                <w:color w:val="000000" w:themeColor="text1"/>
                <w:sz w:val="24"/>
                <w:szCs w:val="24"/>
              </w:rPr>
              <w:t>has</w:t>
            </w:r>
            <w:r w:rsidRPr="00BA4AA1">
              <w:rPr>
                <w:rFonts w:ascii="Arial" w:hAnsi="Arial" w:cs="Arial"/>
                <w:color w:val="000000" w:themeColor="text1"/>
                <w:sz w:val="24"/>
                <w:szCs w:val="24"/>
              </w:rPr>
              <w:t xml:space="preserve"> carried out a waste audit of </w:t>
            </w:r>
            <w:r w:rsidR="00952C77">
              <w:rPr>
                <w:rFonts w:ascii="Arial" w:hAnsi="Arial" w:cs="Arial"/>
                <w:color w:val="000000" w:themeColor="text1"/>
                <w:sz w:val="24"/>
                <w:szCs w:val="24"/>
              </w:rPr>
              <w:t>Oxford City Council</w:t>
            </w:r>
            <w:r w:rsidRPr="00BA4AA1">
              <w:rPr>
                <w:rFonts w:ascii="Arial" w:hAnsi="Arial" w:cs="Arial"/>
                <w:color w:val="000000" w:themeColor="text1"/>
                <w:sz w:val="24"/>
                <w:szCs w:val="24"/>
              </w:rPr>
              <w:t xml:space="preserve"> sites and provided advice on how this waste may be reduced. ODS </w:t>
            </w:r>
            <w:r w:rsidR="00952C77">
              <w:rPr>
                <w:rFonts w:ascii="Arial" w:hAnsi="Arial" w:cs="Arial"/>
                <w:color w:val="000000" w:themeColor="text1"/>
                <w:sz w:val="24"/>
                <w:szCs w:val="24"/>
              </w:rPr>
              <w:t>is</w:t>
            </w:r>
            <w:r w:rsidRPr="00BA4AA1">
              <w:rPr>
                <w:rFonts w:ascii="Arial" w:hAnsi="Arial" w:cs="Arial"/>
                <w:color w:val="000000" w:themeColor="text1"/>
                <w:sz w:val="24"/>
                <w:szCs w:val="24"/>
              </w:rPr>
              <w:t xml:space="preserve"> on the steering group aiming to deliver these improvements. Within ODS our procurement includes commitments to packaging reductions and any plastic or cardboard waste from our material suppliers is recycled.</w:t>
            </w:r>
          </w:p>
        </w:tc>
      </w:tr>
      <w:tr w:rsidR="00B354BD" w:rsidRPr="00BA4AA1" w14:paraId="4A8EC63D" w14:textId="77777777" w:rsidTr="00056D26">
        <w:tc>
          <w:tcPr>
            <w:tcW w:w="5382" w:type="dxa"/>
          </w:tcPr>
          <w:p w14:paraId="1D82EACB" w14:textId="77777777" w:rsidR="00B354BD" w:rsidRPr="00BA4AA1" w:rsidRDefault="00B354BD" w:rsidP="00BA4AA1">
            <w:pPr>
              <w:rPr>
                <w:rFonts w:ascii="Arial" w:hAnsi="Arial" w:cs="Arial"/>
                <w:color w:val="000000" w:themeColor="text1"/>
                <w:sz w:val="24"/>
                <w:szCs w:val="24"/>
              </w:rPr>
            </w:pPr>
            <w:r w:rsidRPr="00BA4AA1">
              <w:rPr>
                <w:rFonts w:ascii="Arial" w:hAnsi="Arial" w:cs="Arial"/>
                <w:color w:val="000000" w:themeColor="text1"/>
                <w:sz w:val="24"/>
                <w:szCs w:val="24"/>
              </w:rPr>
              <w:t>Invest £250,000 for new cycle infrastructure, supporting matched funding with other public bodies.</w:t>
            </w:r>
          </w:p>
        </w:tc>
        <w:tc>
          <w:tcPr>
            <w:tcW w:w="9355" w:type="dxa"/>
          </w:tcPr>
          <w:p w14:paraId="42762C50" w14:textId="77777777" w:rsidR="00B354BD" w:rsidRPr="00BA4AA1" w:rsidRDefault="00B354BD" w:rsidP="00BA4AA1">
            <w:pPr>
              <w:rPr>
                <w:rFonts w:ascii="Arial" w:eastAsia="Calibri" w:hAnsi="Arial" w:cs="Arial"/>
                <w:color w:val="000000" w:themeColor="text1"/>
                <w:sz w:val="24"/>
                <w:szCs w:val="24"/>
              </w:rPr>
            </w:pPr>
            <w:r w:rsidRPr="00BA4AA1">
              <w:rPr>
                <w:rFonts w:ascii="Arial" w:eastAsia="Calibri" w:hAnsi="Arial" w:cs="Arial"/>
                <w:color w:val="000000" w:themeColor="text1"/>
                <w:sz w:val="24"/>
                <w:szCs w:val="24"/>
              </w:rPr>
              <w:t>Works continues to identify suitable schemes</w:t>
            </w:r>
            <w:r w:rsidR="00952C77">
              <w:rPr>
                <w:rFonts w:ascii="Arial" w:eastAsia="Calibri" w:hAnsi="Arial" w:cs="Arial"/>
                <w:color w:val="000000" w:themeColor="text1"/>
                <w:sz w:val="24"/>
                <w:szCs w:val="24"/>
              </w:rPr>
              <w:t>.</w:t>
            </w:r>
          </w:p>
        </w:tc>
      </w:tr>
    </w:tbl>
    <w:p w14:paraId="6257EF72" w14:textId="77777777" w:rsidR="00D76797" w:rsidRPr="00BA4AA1" w:rsidRDefault="00D76797" w:rsidP="00BA4AA1">
      <w:pPr>
        <w:spacing w:after="0" w:line="240" w:lineRule="auto"/>
        <w:rPr>
          <w:rFonts w:ascii="Arial" w:hAnsi="Arial" w:cs="Arial"/>
          <w:color w:val="000000" w:themeColor="text1"/>
          <w:sz w:val="24"/>
          <w:szCs w:val="24"/>
        </w:rPr>
      </w:pPr>
    </w:p>
    <w:p w14:paraId="6289C7B9" w14:textId="77777777" w:rsidR="00D76797" w:rsidRDefault="00D76797" w:rsidP="00BA4AA1">
      <w:pPr>
        <w:spacing w:after="0" w:line="240" w:lineRule="auto"/>
        <w:rPr>
          <w:rFonts w:ascii="Arial" w:hAnsi="Arial" w:cs="Arial"/>
          <w:b/>
          <w:bCs/>
          <w:color w:val="000000" w:themeColor="text1"/>
          <w:sz w:val="24"/>
          <w:szCs w:val="24"/>
        </w:rPr>
      </w:pPr>
    </w:p>
    <w:p w14:paraId="5ABFDFD8" w14:textId="77777777" w:rsidR="00952C77" w:rsidRPr="00BA4AA1" w:rsidRDefault="00952C77" w:rsidP="00BA4AA1">
      <w:pPr>
        <w:spacing w:after="0" w:line="240" w:lineRule="auto"/>
        <w:rPr>
          <w:rFonts w:ascii="Arial" w:hAnsi="Arial" w:cs="Arial"/>
          <w:b/>
          <w:bCs/>
          <w:color w:val="000000" w:themeColor="text1"/>
          <w:sz w:val="24"/>
          <w:szCs w:val="24"/>
        </w:rPr>
      </w:pPr>
    </w:p>
    <w:p w14:paraId="0DFB40EE" w14:textId="77777777" w:rsidR="00D76797" w:rsidRPr="00BA4AA1" w:rsidRDefault="00D76797" w:rsidP="00BA4AA1">
      <w:pPr>
        <w:spacing w:after="0" w:line="240" w:lineRule="auto"/>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4106"/>
        <w:gridCol w:w="3969"/>
        <w:gridCol w:w="6521"/>
      </w:tblGrid>
      <w:tr w:rsidR="00952C77" w:rsidRPr="00BA4AA1" w14:paraId="09CB9BDF" w14:textId="77777777" w:rsidTr="00056D26">
        <w:tc>
          <w:tcPr>
            <w:tcW w:w="4106" w:type="dxa"/>
          </w:tcPr>
          <w:p w14:paraId="7AF6ADAB" w14:textId="77777777" w:rsidR="00952C77" w:rsidRPr="00BA4AA1" w:rsidRDefault="00952C77"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Success Measures</w:t>
            </w:r>
          </w:p>
        </w:tc>
        <w:tc>
          <w:tcPr>
            <w:tcW w:w="3969" w:type="dxa"/>
          </w:tcPr>
          <w:p w14:paraId="647176B3" w14:textId="77777777" w:rsidR="00952C77" w:rsidRPr="00BA4AA1" w:rsidRDefault="00952C77"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Targets</w:t>
            </w:r>
          </w:p>
        </w:tc>
        <w:tc>
          <w:tcPr>
            <w:tcW w:w="6521" w:type="dxa"/>
          </w:tcPr>
          <w:p w14:paraId="6FE39B59" w14:textId="77777777" w:rsidR="00952C77" w:rsidRPr="00BA4AA1" w:rsidRDefault="00952C77"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outcomes</w:t>
            </w:r>
          </w:p>
        </w:tc>
      </w:tr>
      <w:tr w:rsidR="00952C77" w:rsidRPr="00BA4AA1" w14:paraId="5A4FA883" w14:textId="77777777" w:rsidTr="00056D26">
        <w:tc>
          <w:tcPr>
            <w:tcW w:w="4106" w:type="dxa"/>
          </w:tcPr>
          <w:p w14:paraId="63277B46"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Amount of non-recyclable waste produced in the city per households decreases each year</w:t>
            </w:r>
          </w:p>
        </w:tc>
        <w:tc>
          <w:tcPr>
            <w:tcW w:w="3969" w:type="dxa"/>
          </w:tcPr>
          <w:p w14:paraId="7CB10E48" w14:textId="77777777" w:rsidR="00952C77" w:rsidRPr="00E82F1E" w:rsidRDefault="000C20B7" w:rsidP="00BA4AA1">
            <w:pPr>
              <w:rPr>
                <w:rFonts w:ascii="Arial" w:hAnsi="Arial" w:cs="Arial"/>
                <w:color w:val="000000" w:themeColor="text1"/>
                <w:sz w:val="24"/>
                <w:szCs w:val="24"/>
              </w:rPr>
            </w:pPr>
            <w:r w:rsidRPr="00E82F1E">
              <w:rPr>
                <w:rFonts w:ascii="Arial" w:hAnsi="Arial" w:cs="Arial"/>
                <w:sz w:val="24"/>
                <w:szCs w:val="24"/>
              </w:rPr>
              <w:t>418k</w:t>
            </w:r>
          </w:p>
        </w:tc>
        <w:tc>
          <w:tcPr>
            <w:tcW w:w="6521" w:type="dxa"/>
          </w:tcPr>
          <w:p w14:paraId="2F7DE8E7" w14:textId="77777777" w:rsidR="00E91C5F" w:rsidRPr="0084184E" w:rsidRDefault="00E91C5F" w:rsidP="00BA4AA1">
            <w:pPr>
              <w:rPr>
                <w:rFonts w:ascii="Arial" w:hAnsi="Arial" w:cs="Arial"/>
                <w:sz w:val="24"/>
              </w:rPr>
            </w:pPr>
            <w:r w:rsidRPr="0084184E">
              <w:rPr>
                <w:rFonts w:ascii="Arial" w:hAnsi="Arial" w:cs="Arial"/>
                <w:sz w:val="24"/>
              </w:rPr>
              <w:t>337.35kg</w:t>
            </w:r>
          </w:p>
          <w:p w14:paraId="0C5CAC6E" w14:textId="77777777" w:rsidR="00952C77" w:rsidRPr="0084184E" w:rsidRDefault="00952C77" w:rsidP="00E82F1E">
            <w:pPr>
              <w:rPr>
                <w:rFonts w:ascii="Arial" w:hAnsi="Arial" w:cs="Arial"/>
                <w:b/>
                <w:bCs/>
                <w:color w:val="000000" w:themeColor="text1"/>
                <w:sz w:val="24"/>
                <w:szCs w:val="24"/>
              </w:rPr>
            </w:pPr>
          </w:p>
        </w:tc>
      </w:tr>
      <w:tr w:rsidR="00952C77" w:rsidRPr="00BA4AA1" w14:paraId="0CD885BF" w14:textId="77777777" w:rsidTr="00056D26">
        <w:tc>
          <w:tcPr>
            <w:tcW w:w="4106" w:type="dxa"/>
          </w:tcPr>
          <w:p w14:paraId="3D009E67"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Satisfaction with our street cleaning services</w:t>
            </w:r>
          </w:p>
        </w:tc>
        <w:tc>
          <w:tcPr>
            <w:tcW w:w="3969" w:type="dxa"/>
          </w:tcPr>
          <w:p w14:paraId="5BC9B613"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77%</w:t>
            </w:r>
            <w:r w:rsidR="00402B2A">
              <w:rPr>
                <w:rFonts w:ascii="Arial" w:hAnsi="Arial" w:cs="Arial"/>
                <w:color w:val="000000" w:themeColor="text1"/>
                <w:sz w:val="24"/>
                <w:szCs w:val="24"/>
              </w:rPr>
              <w:t xml:space="preserve"> </w:t>
            </w:r>
            <w:r w:rsidR="0027317C">
              <w:rPr>
                <w:rFonts w:ascii="Arial" w:hAnsi="Arial" w:cs="Arial"/>
                <w:color w:val="000000" w:themeColor="text1"/>
                <w:sz w:val="24"/>
                <w:szCs w:val="24"/>
              </w:rPr>
              <w:t xml:space="preserve"> </w:t>
            </w:r>
          </w:p>
        </w:tc>
        <w:tc>
          <w:tcPr>
            <w:tcW w:w="6521" w:type="dxa"/>
          </w:tcPr>
          <w:p w14:paraId="645ADCE1" w14:textId="1BC6DD96" w:rsidR="00952C77" w:rsidRPr="0084184E" w:rsidRDefault="0027317C" w:rsidP="0084184E">
            <w:pPr>
              <w:rPr>
                <w:rFonts w:ascii="Arial" w:hAnsi="Arial" w:cs="Arial"/>
                <w:color w:val="000000" w:themeColor="text1"/>
                <w:sz w:val="24"/>
                <w:szCs w:val="24"/>
              </w:rPr>
            </w:pPr>
            <w:r w:rsidRPr="0084184E">
              <w:rPr>
                <w:rFonts w:ascii="Arial" w:hAnsi="Arial" w:cs="Arial"/>
                <w:color w:val="000000" w:themeColor="text1"/>
                <w:sz w:val="24"/>
                <w:szCs w:val="24"/>
              </w:rPr>
              <w:t>72%</w:t>
            </w:r>
            <w:r w:rsidR="0084184E">
              <w:rPr>
                <w:rFonts w:ascii="Arial" w:hAnsi="Arial" w:cs="Arial"/>
                <w:color w:val="000000" w:themeColor="text1"/>
                <w:sz w:val="24"/>
                <w:szCs w:val="24"/>
              </w:rPr>
              <w:t>.</w:t>
            </w:r>
            <w:r w:rsidR="00402B2A" w:rsidRPr="0084184E">
              <w:rPr>
                <w:rFonts w:ascii="Arial" w:hAnsi="Arial" w:cs="Arial"/>
                <w:color w:val="000000" w:themeColor="text1"/>
                <w:sz w:val="24"/>
                <w:szCs w:val="24"/>
              </w:rPr>
              <w:t xml:space="preserve"> However ODS </w:t>
            </w:r>
            <w:r w:rsidR="0084184E">
              <w:rPr>
                <w:rFonts w:ascii="Arial" w:hAnsi="Arial" w:cs="Arial"/>
                <w:color w:val="000000" w:themeColor="text1"/>
                <w:sz w:val="24"/>
                <w:szCs w:val="24"/>
              </w:rPr>
              <w:t>was</w:t>
            </w:r>
            <w:r w:rsidR="00402B2A" w:rsidRPr="0084184E">
              <w:rPr>
                <w:rFonts w:ascii="Arial" w:hAnsi="Arial" w:cs="Arial"/>
                <w:color w:val="000000" w:themeColor="text1"/>
                <w:sz w:val="24"/>
                <w:szCs w:val="24"/>
              </w:rPr>
              <w:t xml:space="preserve"> winner of the 2019 APSE best service team award for street cleaning and street scene services.  </w:t>
            </w:r>
          </w:p>
        </w:tc>
      </w:tr>
      <w:tr w:rsidR="00952C77" w:rsidRPr="00BA4AA1" w14:paraId="669513BF" w14:textId="77777777" w:rsidTr="00056D26">
        <w:tc>
          <w:tcPr>
            <w:tcW w:w="4106" w:type="dxa"/>
          </w:tcPr>
          <w:p w14:paraId="698FBA57"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Implementation of measures to reduce City</w:t>
            </w:r>
            <w:r w:rsidR="0084184E">
              <w:rPr>
                <w:rFonts w:ascii="Arial" w:hAnsi="Arial" w:cs="Arial"/>
                <w:color w:val="000000" w:themeColor="text1"/>
                <w:sz w:val="24"/>
                <w:szCs w:val="24"/>
              </w:rPr>
              <w:t xml:space="preserve"> </w:t>
            </w:r>
            <w:r w:rsidRPr="00BA4AA1">
              <w:rPr>
                <w:rFonts w:ascii="Arial" w:hAnsi="Arial" w:cs="Arial"/>
                <w:color w:val="000000" w:themeColor="text1"/>
                <w:sz w:val="24"/>
                <w:szCs w:val="24"/>
              </w:rPr>
              <w:t>Council’s carbon footprint by 5% each year</w:t>
            </w:r>
          </w:p>
        </w:tc>
        <w:tc>
          <w:tcPr>
            <w:tcW w:w="3969" w:type="dxa"/>
          </w:tcPr>
          <w:p w14:paraId="49EC8029"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5%</w:t>
            </w:r>
          </w:p>
        </w:tc>
        <w:tc>
          <w:tcPr>
            <w:tcW w:w="6521" w:type="dxa"/>
          </w:tcPr>
          <w:p w14:paraId="10FD7598" w14:textId="77777777" w:rsidR="00952C77" w:rsidRPr="0084184E" w:rsidRDefault="002F1DE4" w:rsidP="00BA4AA1">
            <w:pPr>
              <w:rPr>
                <w:rFonts w:ascii="Arial" w:eastAsia="Calibri" w:hAnsi="Arial" w:cs="Arial"/>
                <w:color w:val="000000" w:themeColor="text1"/>
                <w:sz w:val="24"/>
                <w:szCs w:val="24"/>
              </w:rPr>
            </w:pPr>
            <w:r w:rsidRPr="0084184E">
              <w:rPr>
                <w:rFonts w:ascii="Arial" w:eastAsia="Calibri" w:hAnsi="Arial" w:cs="Arial"/>
                <w:color w:val="000000" w:themeColor="text1"/>
                <w:sz w:val="24"/>
                <w:szCs w:val="24"/>
              </w:rPr>
              <w:t>5%</w:t>
            </w:r>
          </w:p>
        </w:tc>
      </w:tr>
    </w:tbl>
    <w:p w14:paraId="002363D4" w14:textId="77777777" w:rsidR="00D76797" w:rsidRPr="00BA4AA1" w:rsidRDefault="00D76797" w:rsidP="00BA4AA1">
      <w:pPr>
        <w:spacing w:after="0" w:line="240" w:lineRule="auto"/>
        <w:rPr>
          <w:rFonts w:ascii="Arial" w:hAnsi="Arial" w:cs="Arial"/>
          <w:color w:val="000000" w:themeColor="text1"/>
          <w:sz w:val="24"/>
          <w:szCs w:val="24"/>
        </w:rPr>
      </w:pPr>
    </w:p>
    <w:p w14:paraId="68B95C88" w14:textId="77777777" w:rsidR="0090164F" w:rsidRPr="00BA4AA1" w:rsidRDefault="0090164F" w:rsidP="00BA4AA1">
      <w:pPr>
        <w:spacing w:after="0" w:line="240" w:lineRule="auto"/>
        <w:rPr>
          <w:rFonts w:ascii="Arial" w:hAnsi="Arial" w:cs="Arial"/>
          <w:color w:val="000000" w:themeColor="text1"/>
          <w:sz w:val="24"/>
          <w:szCs w:val="24"/>
        </w:rPr>
      </w:pPr>
      <w:r w:rsidRPr="00BA4AA1">
        <w:rPr>
          <w:rFonts w:ascii="Arial" w:hAnsi="Arial" w:cs="Arial"/>
          <w:color w:val="000000" w:themeColor="text1"/>
          <w:sz w:val="24"/>
          <w:szCs w:val="24"/>
        </w:rPr>
        <w:br w:type="page"/>
      </w:r>
    </w:p>
    <w:p w14:paraId="2A1FC72B" w14:textId="77777777" w:rsidR="0090164F" w:rsidRDefault="00A64A76" w:rsidP="00BA4AA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 xml:space="preserve">CORPORATE PRIORITY: </w:t>
      </w:r>
      <w:r w:rsidR="0090164F" w:rsidRPr="00BA4AA1">
        <w:rPr>
          <w:rFonts w:ascii="Arial" w:hAnsi="Arial" w:cs="Arial"/>
          <w:b/>
          <w:color w:val="000000" w:themeColor="text1"/>
          <w:sz w:val="24"/>
          <w:szCs w:val="24"/>
        </w:rPr>
        <w:t>Efficient and Effective Council</w:t>
      </w:r>
    </w:p>
    <w:p w14:paraId="202884DB" w14:textId="77777777" w:rsidR="00A64A76" w:rsidRPr="00BA4AA1" w:rsidRDefault="00A64A76" w:rsidP="00BA4AA1">
      <w:pPr>
        <w:spacing w:after="0" w:line="240" w:lineRule="auto"/>
        <w:rPr>
          <w:rFonts w:ascii="Arial" w:hAnsi="Arial" w:cs="Arial"/>
          <w:b/>
          <w:color w:val="000000" w:themeColor="text1"/>
          <w:sz w:val="24"/>
          <w:szCs w:val="24"/>
        </w:rPr>
      </w:pPr>
    </w:p>
    <w:tbl>
      <w:tblPr>
        <w:tblStyle w:val="TableGrid"/>
        <w:tblW w:w="14992" w:type="dxa"/>
        <w:tblLook w:val="04A0" w:firstRow="1" w:lastRow="0" w:firstColumn="1" w:lastColumn="0" w:noHBand="0" w:noVBand="1"/>
      </w:tblPr>
      <w:tblGrid>
        <w:gridCol w:w="5382"/>
        <w:gridCol w:w="9610"/>
      </w:tblGrid>
      <w:tr w:rsidR="00952C77" w:rsidRPr="00BA4AA1" w14:paraId="30B8BC42" w14:textId="77777777" w:rsidTr="00952C77">
        <w:tc>
          <w:tcPr>
            <w:tcW w:w="5382" w:type="dxa"/>
          </w:tcPr>
          <w:p w14:paraId="4D7D7CEE" w14:textId="77777777" w:rsidR="00952C77" w:rsidRPr="00BA4AA1" w:rsidRDefault="00952C77" w:rsidP="00BA4AA1">
            <w:pPr>
              <w:rPr>
                <w:rFonts w:ascii="Arial" w:hAnsi="Arial" w:cs="Arial"/>
                <w:b/>
                <w:color w:val="000000" w:themeColor="text1"/>
                <w:sz w:val="24"/>
                <w:szCs w:val="24"/>
              </w:rPr>
            </w:pPr>
            <w:r w:rsidRPr="00BA4AA1">
              <w:rPr>
                <w:rFonts w:ascii="Arial" w:hAnsi="Arial" w:cs="Arial"/>
                <w:b/>
                <w:color w:val="000000" w:themeColor="text1"/>
                <w:sz w:val="24"/>
                <w:szCs w:val="24"/>
              </w:rPr>
              <w:t>Areas of Focus 2019–2020</w:t>
            </w:r>
          </w:p>
        </w:tc>
        <w:tc>
          <w:tcPr>
            <w:tcW w:w="9610" w:type="dxa"/>
          </w:tcPr>
          <w:p w14:paraId="622E9937" w14:textId="77777777" w:rsidR="00952C77" w:rsidRPr="00BA4AA1" w:rsidRDefault="00952C77" w:rsidP="00BA4AA1">
            <w:pPr>
              <w:rPr>
                <w:rFonts w:ascii="Arial" w:hAnsi="Arial" w:cs="Arial"/>
                <w:b/>
                <w:color w:val="000000" w:themeColor="text1"/>
                <w:sz w:val="24"/>
                <w:szCs w:val="24"/>
              </w:rPr>
            </w:pPr>
            <w:r w:rsidRPr="00BA4AA1">
              <w:rPr>
                <w:rFonts w:ascii="Arial" w:hAnsi="Arial" w:cs="Arial"/>
                <w:b/>
                <w:color w:val="000000" w:themeColor="text1"/>
                <w:sz w:val="24"/>
                <w:szCs w:val="24"/>
              </w:rPr>
              <w:t>Outcome</w:t>
            </w:r>
          </w:p>
        </w:tc>
      </w:tr>
      <w:tr w:rsidR="00952C77" w:rsidRPr="00BA4AA1" w14:paraId="3D4F3228" w14:textId="77777777" w:rsidTr="00952C77">
        <w:tc>
          <w:tcPr>
            <w:tcW w:w="5382" w:type="dxa"/>
          </w:tcPr>
          <w:p w14:paraId="3A1AEB52" w14:textId="77777777" w:rsidR="00952C77" w:rsidRPr="00BA4AA1" w:rsidRDefault="00952C77" w:rsidP="00BA4AA1">
            <w:pPr>
              <w:rPr>
                <w:rFonts w:ascii="Arial" w:hAnsi="Arial" w:cs="Arial"/>
                <w:b/>
                <w:color w:val="000000" w:themeColor="text1"/>
                <w:sz w:val="24"/>
                <w:szCs w:val="24"/>
              </w:rPr>
            </w:pPr>
            <w:r w:rsidRPr="00BA4AA1">
              <w:rPr>
                <w:rFonts w:ascii="Arial" w:hAnsi="Arial" w:cs="Arial"/>
                <w:color w:val="000000" w:themeColor="text1"/>
                <w:sz w:val="24"/>
                <w:szCs w:val="24"/>
              </w:rPr>
              <w:t>Delivery of the updated ODS business plan, which will increase capital investment and boost the rate of growth and income generated for the Council.</w:t>
            </w:r>
          </w:p>
        </w:tc>
        <w:tc>
          <w:tcPr>
            <w:tcW w:w="9610" w:type="dxa"/>
          </w:tcPr>
          <w:p w14:paraId="35C27D3C" w14:textId="34D6C40A"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A plan has been drafted</w:t>
            </w:r>
            <w:r w:rsidR="00A474D3">
              <w:rPr>
                <w:rFonts w:ascii="Arial" w:hAnsi="Arial" w:cs="Arial"/>
                <w:color w:val="000000" w:themeColor="text1"/>
                <w:sz w:val="24"/>
                <w:szCs w:val="24"/>
              </w:rPr>
              <w:t xml:space="preserve">, </w:t>
            </w:r>
            <w:r w:rsidRPr="00BA4AA1">
              <w:rPr>
                <w:rFonts w:ascii="Arial" w:hAnsi="Arial" w:cs="Arial"/>
                <w:color w:val="000000" w:themeColor="text1"/>
                <w:sz w:val="24"/>
                <w:szCs w:val="24"/>
              </w:rPr>
              <w:t>designed to deliver the increased dividend requirement</w:t>
            </w:r>
            <w:r>
              <w:rPr>
                <w:rFonts w:ascii="Arial" w:hAnsi="Arial" w:cs="Arial"/>
                <w:color w:val="000000" w:themeColor="text1"/>
                <w:sz w:val="24"/>
                <w:szCs w:val="24"/>
              </w:rPr>
              <w:t xml:space="preserve"> for the shareholder, Oxford City Council.</w:t>
            </w:r>
            <w:r w:rsidR="00A474D3">
              <w:rPr>
                <w:rFonts w:ascii="Arial" w:hAnsi="Arial" w:cs="Arial"/>
                <w:color w:val="000000" w:themeColor="text1"/>
                <w:sz w:val="24"/>
                <w:szCs w:val="24"/>
              </w:rPr>
              <w:t xml:space="preserve"> However this is being reviewed to address the post-COVID situation</w:t>
            </w:r>
            <w:r w:rsidR="00A474D3" w:rsidRPr="00BA4AA1">
              <w:rPr>
                <w:rFonts w:ascii="Arial" w:hAnsi="Arial" w:cs="Arial"/>
                <w:color w:val="000000" w:themeColor="text1"/>
                <w:sz w:val="24"/>
                <w:szCs w:val="24"/>
              </w:rPr>
              <w:t>.</w:t>
            </w:r>
          </w:p>
          <w:p w14:paraId="014B357A" w14:textId="77777777" w:rsidR="00952C77" w:rsidRPr="00BA4AA1" w:rsidRDefault="00952C77" w:rsidP="00BA4AA1">
            <w:pPr>
              <w:rPr>
                <w:rFonts w:ascii="Arial" w:hAnsi="Arial" w:cs="Arial"/>
                <w:b/>
                <w:bCs/>
                <w:color w:val="000000" w:themeColor="text1"/>
                <w:sz w:val="24"/>
                <w:szCs w:val="24"/>
              </w:rPr>
            </w:pPr>
          </w:p>
        </w:tc>
      </w:tr>
      <w:tr w:rsidR="00952C77" w:rsidRPr="00BA4AA1" w14:paraId="49C01B01" w14:textId="77777777" w:rsidTr="00952C77">
        <w:tc>
          <w:tcPr>
            <w:tcW w:w="5382" w:type="dxa"/>
          </w:tcPr>
          <w:p w14:paraId="22440226"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Continue to work to increase the diversity of the Council’s workforce to better reflect the communities we serve and ensure we are seen as an employer of choice.</w:t>
            </w:r>
          </w:p>
        </w:tc>
        <w:tc>
          <w:tcPr>
            <w:tcW w:w="9610" w:type="dxa"/>
          </w:tcPr>
          <w:p w14:paraId="2613340A" w14:textId="77777777" w:rsidR="00952C77" w:rsidRPr="00BA4AA1" w:rsidRDefault="00650B4F" w:rsidP="00650B4F">
            <w:pPr>
              <w:rPr>
                <w:rFonts w:ascii="Arial" w:hAnsi="Arial" w:cs="Arial"/>
                <w:color w:val="000000" w:themeColor="text1"/>
                <w:sz w:val="24"/>
                <w:szCs w:val="24"/>
              </w:rPr>
            </w:pPr>
            <w:r>
              <w:rPr>
                <w:rFonts w:ascii="Arial" w:eastAsia="Calibri" w:hAnsi="Arial" w:cs="Arial"/>
                <w:color w:val="000000" w:themeColor="text1"/>
                <w:sz w:val="24"/>
                <w:szCs w:val="24"/>
              </w:rPr>
              <w:t>A r</w:t>
            </w:r>
            <w:r w:rsidR="00952C77" w:rsidRPr="00BA4AA1">
              <w:rPr>
                <w:rFonts w:ascii="Arial" w:eastAsia="Calibri" w:hAnsi="Arial" w:cs="Arial"/>
                <w:color w:val="000000" w:themeColor="text1"/>
                <w:sz w:val="24"/>
                <w:szCs w:val="24"/>
              </w:rPr>
              <w:t xml:space="preserve">ange of activities </w:t>
            </w:r>
            <w:r>
              <w:rPr>
                <w:rFonts w:ascii="Arial" w:eastAsia="Calibri" w:hAnsi="Arial" w:cs="Arial"/>
                <w:color w:val="000000" w:themeColor="text1"/>
                <w:sz w:val="24"/>
                <w:szCs w:val="24"/>
              </w:rPr>
              <w:t>were undertaken o</w:t>
            </w:r>
            <w:r w:rsidR="00952C77" w:rsidRPr="00BA4AA1">
              <w:rPr>
                <w:rFonts w:ascii="Arial" w:eastAsia="Calibri" w:hAnsi="Arial" w:cs="Arial"/>
                <w:color w:val="000000" w:themeColor="text1"/>
                <w:sz w:val="24"/>
                <w:szCs w:val="24"/>
              </w:rPr>
              <w:t>ver the year including mandatory training for all staff and managers; an Equality, Diversity and Inclusion Week of Action to promote better understanding, and act as a catalyst for change which over 360 staff attended; 2 small scale work experience pilots; 2 recruitment roadshows held in local community centres, a CV writing workshop and a cohort of 4 Mental Health First Aid Instructors and over 40 Mental Health First Aiders. This has helped to drive an increase in the percentage of job applications from members of the BAME community and the % of BAME staff in our workforce has risen from 11.95% at 31 March 2018 to 12.96% at 31 March 2019.</w:t>
            </w:r>
          </w:p>
        </w:tc>
      </w:tr>
      <w:tr w:rsidR="00952C77" w:rsidRPr="00BA4AA1" w14:paraId="608FD9B0" w14:textId="77777777" w:rsidTr="00952C77">
        <w:tc>
          <w:tcPr>
            <w:tcW w:w="5382" w:type="dxa"/>
          </w:tcPr>
          <w:p w14:paraId="69D8D81E"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Maintain our awards, including Customer Service Excellence, Payroll Assurance Scheme and Investors in People</w:t>
            </w:r>
            <w:r w:rsidR="00650B4F">
              <w:rPr>
                <w:rFonts w:ascii="Arial" w:hAnsi="Arial" w:cs="Arial"/>
                <w:color w:val="000000" w:themeColor="text1"/>
                <w:sz w:val="24"/>
                <w:szCs w:val="24"/>
              </w:rPr>
              <w:t xml:space="preserve"> (IIP)</w:t>
            </w:r>
            <w:r w:rsidRPr="00BA4AA1">
              <w:rPr>
                <w:rFonts w:ascii="Arial" w:hAnsi="Arial" w:cs="Arial"/>
                <w:color w:val="000000" w:themeColor="text1"/>
                <w:sz w:val="24"/>
                <w:szCs w:val="24"/>
              </w:rPr>
              <w:t xml:space="preserve"> accreditation.</w:t>
            </w:r>
          </w:p>
        </w:tc>
        <w:tc>
          <w:tcPr>
            <w:tcW w:w="9610" w:type="dxa"/>
          </w:tcPr>
          <w:p w14:paraId="3EE7E02C" w14:textId="77777777" w:rsidR="00952C77" w:rsidRPr="00650B4F" w:rsidRDefault="00952C77" w:rsidP="00A474D3">
            <w:pPr>
              <w:rPr>
                <w:rFonts w:ascii="Arial" w:eastAsia="Calibri" w:hAnsi="Arial" w:cs="Arial"/>
                <w:color w:val="000000" w:themeColor="text1"/>
                <w:sz w:val="24"/>
                <w:szCs w:val="24"/>
              </w:rPr>
            </w:pPr>
            <w:r w:rsidRPr="00BA4AA1">
              <w:rPr>
                <w:rFonts w:ascii="Arial" w:eastAsia="Calibri" w:hAnsi="Arial" w:cs="Arial"/>
                <w:color w:val="000000" w:themeColor="text1"/>
                <w:sz w:val="24"/>
                <w:szCs w:val="24"/>
              </w:rPr>
              <w:t>We passed the Customer Service Excellence accreditation again for the fourth year in a row with an improved score.  Areas where the Council scored exceptionally highly</w:t>
            </w:r>
            <w:r w:rsidR="00A474D3">
              <w:rPr>
                <w:rFonts w:ascii="Arial" w:eastAsia="Calibri" w:hAnsi="Arial" w:cs="Arial"/>
                <w:color w:val="000000" w:themeColor="text1"/>
                <w:sz w:val="24"/>
                <w:szCs w:val="24"/>
              </w:rPr>
              <w:t xml:space="preserve"> and were</w:t>
            </w:r>
            <w:r w:rsidRPr="00BA4AA1">
              <w:rPr>
                <w:rFonts w:ascii="Arial" w:eastAsia="Calibri" w:hAnsi="Arial" w:cs="Arial"/>
                <w:color w:val="000000" w:themeColor="text1"/>
                <w:sz w:val="24"/>
                <w:szCs w:val="24"/>
              </w:rPr>
              <w:t xml:space="preserve"> recognised for best practice included: effective use of data to understand customer needs; developing roles to engage more effectively with customer groups; improving services by analysing customer experiences; effective consultation; developing innovative approaches to support local communities and a clear corporate commitment to customer service.</w:t>
            </w:r>
            <w:r w:rsidR="00650B4F">
              <w:rPr>
                <w:rFonts w:ascii="Arial" w:eastAsia="Calibri" w:hAnsi="Arial" w:cs="Arial"/>
                <w:color w:val="000000" w:themeColor="text1"/>
                <w:sz w:val="24"/>
                <w:szCs w:val="24"/>
              </w:rPr>
              <w:t xml:space="preserve"> </w:t>
            </w:r>
            <w:r w:rsidRPr="00BA4AA1">
              <w:rPr>
                <w:rFonts w:ascii="Arial" w:eastAsia="Calibri" w:hAnsi="Arial" w:cs="Arial"/>
                <w:color w:val="000000" w:themeColor="text1"/>
                <w:sz w:val="24"/>
                <w:szCs w:val="24"/>
              </w:rPr>
              <w:t xml:space="preserve">The Payroll Assurance Scheme </w:t>
            </w:r>
            <w:r w:rsidR="00650B4F">
              <w:rPr>
                <w:rFonts w:ascii="Arial" w:eastAsia="Calibri" w:hAnsi="Arial" w:cs="Arial"/>
                <w:color w:val="000000" w:themeColor="text1"/>
                <w:sz w:val="24"/>
                <w:szCs w:val="24"/>
              </w:rPr>
              <w:t xml:space="preserve">and IIP accreditation </w:t>
            </w:r>
            <w:r w:rsidRPr="00BA4AA1">
              <w:rPr>
                <w:rFonts w:ascii="Arial" w:eastAsia="Calibri" w:hAnsi="Arial" w:cs="Arial"/>
                <w:color w:val="000000" w:themeColor="text1"/>
                <w:sz w:val="24"/>
                <w:szCs w:val="24"/>
              </w:rPr>
              <w:t>remain</w:t>
            </w:r>
            <w:r w:rsidR="00650B4F">
              <w:rPr>
                <w:rFonts w:ascii="Arial" w:eastAsia="Calibri" w:hAnsi="Arial" w:cs="Arial"/>
                <w:color w:val="000000" w:themeColor="text1"/>
                <w:sz w:val="24"/>
                <w:szCs w:val="24"/>
              </w:rPr>
              <w:t xml:space="preserve"> in place.</w:t>
            </w:r>
          </w:p>
        </w:tc>
      </w:tr>
      <w:tr w:rsidR="00952C77" w:rsidRPr="00BA4AA1" w14:paraId="441F1203" w14:textId="77777777" w:rsidTr="00952C77">
        <w:tc>
          <w:tcPr>
            <w:tcW w:w="5382" w:type="dxa"/>
          </w:tcPr>
          <w:p w14:paraId="099F2FC0"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Deliver a new Customer and Digital Technology Strategy to further improve our customer experience, self-service opportunities and automation of our processes.</w:t>
            </w:r>
          </w:p>
        </w:tc>
        <w:tc>
          <w:tcPr>
            <w:tcW w:w="9610" w:type="dxa"/>
          </w:tcPr>
          <w:p w14:paraId="3AF78110" w14:textId="77777777" w:rsidR="00952C77" w:rsidRPr="00BA4AA1" w:rsidRDefault="00952C77"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The Customer Experience S</w:t>
            </w:r>
            <w:r w:rsidR="00650B4F">
              <w:rPr>
                <w:rFonts w:ascii="Arial" w:eastAsia="Calibri" w:hAnsi="Arial" w:cs="Arial"/>
                <w:color w:val="000000" w:themeColor="text1"/>
                <w:sz w:val="24"/>
                <w:szCs w:val="24"/>
              </w:rPr>
              <w:t>trategy was approved by Cabinet. Its</w:t>
            </w:r>
            <w:r w:rsidRPr="00BA4AA1">
              <w:rPr>
                <w:rFonts w:ascii="Arial" w:eastAsia="Calibri" w:hAnsi="Arial" w:cs="Arial"/>
                <w:color w:val="000000" w:themeColor="text1"/>
                <w:sz w:val="24"/>
                <w:szCs w:val="24"/>
              </w:rPr>
              <w:t xml:space="preserve"> main principles </w:t>
            </w:r>
            <w:r w:rsidR="00650B4F">
              <w:rPr>
                <w:rFonts w:ascii="Arial" w:eastAsia="Calibri" w:hAnsi="Arial" w:cs="Arial"/>
                <w:color w:val="000000" w:themeColor="text1"/>
                <w:sz w:val="24"/>
                <w:szCs w:val="24"/>
              </w:rPr>
              <w:t>include: p</w:t>
            </w:r>
            <w:r w:rsidRPr="00BA4AA1">
              <w:rPr>
                <w:rFonts w:ascii="Arial" w:eastAsia="Calibri" w:hAnsi="Arial" w:cs="Arial"/>
                <w:color w:val="000000" w:themeColor="text1"/>
                <w:sz w:val="24"/>
                <w:szCs w:val="24"/>
              </w:rPr>
              <w:t>roviding a great, holistic responsive customer experience</w:t>
            </w:r>
            <w:r w:rsidR="00650B4F">
              <w:rPr>
                <w:rFonts w:ascii="Arial" w:eastAsia="Calibri" w:hAnsi="Arial" w:cs="Arial"/>
                <w:color w:val="000000" w:themeColor="text1"/>
                <w:sz w:val="24"/>
                <w:szCs w:val="24"/>
              </w:rPr>
              <w:t xml:space="preserve"> from every part of the Council; d</w:t>
            </w:r>
            <w:r w:rsidRPr="00BA4AA1">
              <w:rPr>
                <w:rFonts w:ascii="Arial" w:eastAsia="Calibri" w:hAnsi="Arial" w:cs="Arial"/>
                <w:color w:val="000000" w:themeColor="text1"/>
                <w:sz w:val="24"/>
                <w:szCs w:val="24"/>
              </w:rPr>
              <w:t>eveloping the necessary skills, capabilities and beha</w:t>
            </w:r>
            <w:r w:rsidR="00650B4F">
              <w:rPr>
                <w:rFonts w:ascii="Arial" w:eastAsia="Calibri" w:hAnsi="Arial" w:cs="Arial"/>
                <w:color w:val="000000" w:themeColor="text1"/>
                <w:sz w:val="24"/>
                <w:szCs w:val="24"/>
              </w:rPr>
              <w:t>viours throughout the workforce; b</w:t>
            </w:r>
            <w:r w:rsidRPr="00BA4AA1">
              <w:rPr>
                <w:rFonts w:ascii="Arial" w:eastAsia="Calibri" w:hAnsi="Arial" w:cs="Arial"/>
                <w:color w:val="000000" w:themeColor="text1"/>
                <w:sz w:val="24"/>
                <w:szCs w:val="24"/>
              </w:rPr>
              <w:t>etter equipping colleagues with tools to respond to custom</w:t>
            </w:r>
            <w:r w:rsidR="00650B4F">
              <w:rPr>
                <w:rFonts w:ascii="Arial" w:eastAsia="Calibri" w:hAnsi="Arial" w:cs="Arial"/>
                <w:color w:val="000000" w:themeColor="text1"/>
                <w:sz w:val="24"/>
                <w:szCs w:val="24"/>
              </w:rPr>
              <w:t>er needs, flexibly and securely; m</w:t>
            </w:r>
            <w:r w:rsidRPr="00BA4AA1">
              <w:rPr>
                <w:rFonts w:ascii="Arial" w:eastAsia="Calibri" w:hAnsi="Arial" w:cs="Arial"/>
                <w:color w:val="000000" w:themeColor="text1"/>
                <w:sz w:val="24"/>
                <w:szCs w:val="24"/>
              </w:rPr>
              <w:t xml:space="preserve">odernising business systems and operating processes, making them easier to use </w:t>
            </w:r>
            <w:r w:rsidR="00650B4F">
              <w:rPr>
                <w:rFonts w:ascii="Arial" w:eastAsia="Calibri" w:hAnsi="Arial" w:cs="Arial"/>
                <w:color w:val="000000" w:themeColor="text1"/>
                <w:sz w:val="24"/>
                <w:szCs w:val="24"/>
              </w:rPr>
              <w:t>and automated where appropriate; and e</w:t>
            </w:r>
            <w:r w:rsidRPr="00BA4AA1">
              <w:rPr>
                <w:rFonts w:ascii="Arial" w:eastAsia="Calibri" w:hAnsi="Arial" w:cs="Arial"/>
                <w:color w:val="000000" w:themeColor="text1"/>
                <w:sz w:val="24"/>
                <w:szCs w:val="24"/>
              </w:rPr>
              <w:t>nabling efficiencies through rationalisation of systems, streamlining of processes, and tools for flexible working and collaboration</w:t>
            </w:r>
            <w:r w:rsidR="00650B4F">
              <w:rPr>
                <w:rFonts w:ascii="Arial" w:eastAsia="Calibri" w:hAnsi="Arial" w:cs="Arial"/>
                <w:color w:val="000000" w:themeColor="text1"/>
                <w:sz w:val="24"/>
                <w:szCs w:val="24"/>
              </w:rPr>
              <w:t>.</w:t>
            </w:r>
          </w:p>
        </w:tc>
      </w:tr>
      <w:tr w:rsidR="00952C77" w:rsidRPr="00BA4AA1" w14:paraId="167BC626" w14:textId="77777777" w:rsidTr="00952C77">
        <w:tc>
          <w:tcPr>
            <w:tcW w:w="5382" w:type="dxa"/>
          </w:tcPr>
          <w:p w14:paraId="7702D6B3"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lastRenderedPageBreak/>
              <w:t>Implement a new system to make it easier for residents to make payments through a range of digital and non-digital channels.</w:t>
            </w:r>
          </w:p>
        </w:tc>
        <w:tc>
          <w:tcPr>
            <w:tcW w:w="9610" w:type="dxa"/>
          </w:tcPr>
          <w:p w14:paraId="42F39A85" w14:textId="3B7F8D29" w:rsidR="00952C77" w:rsidRPr="00BA4AA1" w:rsidRDefault="00952C77" w:rsidP="00A474D3">
            <w:pPr>
              <w:rPr>
                <w:rFonts w:ascii="Arial" w:eastAsia="Calibri" w:hAnsi="Arial" w:cs="Arial"/>
                <w:color w:val="000000" w:themeColor="text1"/>
                <w:sz w:val="24"/>
                <w:szCs w:val="24"/>
              </w:rPr>
            </w:pPr>
            <w:r w:rsidRPr="00BA4AA1">
              <w:rPr>
                <w:rFonts w:ascii="Arial" w:eastAsia="Calibri" w:hAnsi="Arial" w:cs="Arial"/>
                <w:color w:val="000000" w:themeColor="text1"/>
                <w:sz w:val="24"/>
                <w:szCs w:val="24"/>
              </w:rPr>
              <w:t xml:space="preserve">The project has been delayed due to dependencies with the implementation of other ICT software. The </w:t>
            </w:r>
            <w:r w:rsidR="00A474D3">
              <w:rPr>
                <w:rFonts w:ascii="Arial" w:eastAsia="Calibri" w:hAnsi="Arial" w:cs="Arial"/>
                <w:color w:val="000000" w:themeColor="text1"/>
                <w:sz w:val="24"/>
                <w:szCs w:val="24"/>
              </w:rPr>
              <w:t xml:space="preserve">new go live date for the </w:t>
            </w:r>
            <w:r w:rsidRPr="00BA4AA1">
              <w:rPr>
                <w:rFonts w:ascii="Arial" w:eastAsia="Calibri" w:hAnsi="Arial" w:cs="Arial"/>
                <w:color w:val="000000" w:themeColor="text1"/>
                <w:sz w:val="24"/>
                <w:szCs w:val="24"/>
              </w:rPr>
              <w:t xml:space="preserve">software </w:t>
            </w:r>
            <w:r w:rsidR="00A474D3">
              <w:rPr>
                <w:rFonts w:ascii="Arial" w:eastAsia="Calibri" w:hAnsi="Arial" w:cs="Arial"/>
                <w:color w:val="000000" w:themeColor="text1"/>
                <w:sz w:val="24"/>
                <w:szCs w:val="24"/>
              </w:rPr>
              <w:t>is being reviewed in view of the impact of COVID-19 on our operations.</w:t>
            </w:r>
          </w:p>
        </w:tc>
      </w:tr>
      <w:tr w:rsidR="00952C77" w:rsidRPr="00BA4AA1" w14:paraId="4EB13ED3" w14:textId="77777777" w:rsidTr="00952C77">
        <w:tc>
          <w:tcPr>
            <w:tcW w:w="5382" w:type="dxa"/>
          </w:tcPr>
          <w:p w14:paraId="256D4D83"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Formation of a Social Housing Provider Data Hub to proactively tackle tenancy fraud and abuse.</w:t>
            </w:r>
          </w:p>
        </w:tc>
        <w:tc>
          <w:tcPr>
            <w:tcW w:w="9610" w:type="dxa"/>
          </w:tcPr>
          <w:p w14:paraId="6D436CC9" w14:textId="77777777" w:rsidR="00952C77" w:rsidRPr="00BA4AA1" w:rsidRDefault="00650B4F" w:rsidP="00650B4F">
            <w:pPr>
              <w:rPr>
                <w:rFonts w:ascii="Arial" w:eastAsia="Calibri" w:hAnsi="Arial" w:cs="Arial"/>
                <w:color w:val="000000" w:themeColor="text1"/>
                <w:sz w:val="24"/>
                <w:szCs w:val="24"/>
              </w:rPr>
            </w:pPr>
            <w:r>
              <w:rPr>
                <w:rFonts w:ascii="Arial" w:eastAsia="Calibri" w:hAnsi="Arial" w:cs="Arial"/>
                <w:color w:val="000000" w:themeColor="text1"/>
                <w:sz w:val="24"/>
                <w:szCs w:val="24"/>
              </w:rPr>
              <w:t>F</w:t>
            </w:r>
            <w:r w:rsidR="00952C77" w:rsidRPr="00BA4AA1">
              <w:rPr>
                <w:rFonts w:ascii="Arial" w:eastAsia="Calibri" w:hAnsi="Arial" w:cs="Arial"/>
                <w:color w:val="000000" w:themeColor="text1"/>
                <w:sz w:val="24"/>
                <w:szCs w:val="24"/>
              </w:rPr>
              <w:t xml:space="preserve">raud preventative work </w:t>
            </w:r>
            <w:r>
              <w:rPr>
                <w:rFonts w:ascii="Arial" w:eastAsia="Calibri" w:hAnsi="Arial" w:cs="Arial"/>
                <w:color w:val="000000" w:themeColor="text1"/>
                <w:sz w:val="24"/>
                <w:szCs w:val="24"/>
              </w:rPr>
              <w:t xml:space="preserve">was undertaken </w:t>
            </w:r>
            <w:r w:rsidR="00952C77" w:rsidRPr="00BA4AA1">
              <w:rPr>
                <w:rFonts w:ascii="Arial" w:eastAsia="Calibri" w:hAnsi="Arial" w:cs="Arial"/>
                <w:color w:val="000000" w:themeColor="text1"/>
                <w:sz w:val="24"/>
                <w:szCs w:val="24"/>
              </w:rPr>
              <w:t>with a number of housing associations on commercial terms and there are ongoing discussions to continue with this work and extend into other areas.</w:t>
            </w:r>
          </w:p>
        </w:tc>
      </w:tr>
      <w:tr w:rsidR="00952C77" w:rsidRPr="00BA4AA1" w14:paraId="4654E9FF" w14:textId="77777777" w:rsidTr="00952C77">
        <w:tc>
          <w:tcPr>
            <w:tcW w:w="5382" w:type="dxa"/>
          </w:tcPr>
          <w:p w14:paraId="00C3FC66"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Invest £34,000 to create a mobile accessibility app to make it easier for people with a disability to access city venues.</w:t>
            </w:r>
          </w:p>
        </w:tc>
        <w:tc>
          <w:tcPr>
            <w:tcW w:w="9610" w:type="dxa"/>
          </w:tcPr>
          <w:p w14:paraId="79B67D10" w14:textId="5495406A" w:rsidR="00952C77" w:rsidRPr="00BA4AA1" w:rsidRDefault="00952C77"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300 spaces and places have now been surveyed. The AccessAble Web and App guide is now live.</w:t>
            </w:r>
          </w:p>
          <w:p w14:paraId="68E8CEDD" w14:textId="77777777" w:rsidR="00952C77" w:rsidRPr="00BA4AA1" w:rsidRDefault="00952C77" w:rsidP="00BA4AA1">
            <w:pPr>
              <w:rPr>
                <w:rFonts w:ascii="Arial" w:hAnsi="Arial" w:cs="Arial"/>
                <w:color w:val="000000" w:themeColor="text1"/>
                <w:sz w:val="24"/>
                <w:szCs w:val="24"/>
              </w:rPr>
            </w:pPr>
          </w:p>
        </w:tc>
      </w:tr>
      <w:tr w:rsidR="00952C77" w:rsidRPr="00BA4AA1" w14:paraId="2622CDA8" w14:textId="77777777" w:rsidTr="00952C77">
        <w:tc>
          <w:tcPr>
            <w:tcW w:w="5382" w:type="dxa"/>
          </w:tcPr>
          <w:p w14:paraId="42A1C330"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Development of a new Oxford City Council Corporate Strategy to set out our plans and objectives for delivering high-quality services for the people of Oxford for the period beyond 2020.</w:t>
            </w:r>
          </w:p>
        </w:tc>
        <w:tc>
          <w:tcPr>
            <w:tcW w:w="9610" w:type="dxa"/>
          </w:tcPr>
          <w:p w14:paraId="52C9E353" w14:textId="77777777" w:rsidR="00952C77" w:rsidRPr="00BA4AA1" w:rsidRDefault="00952C77"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A new Oxford City Council Strategy 2020-24 was adopted by the Council following an extensive stakeholder engagement and public consultation. It sets out four key priorities – enabling an inclusive economy, building more affordable housing, supporting thriving communities and pursuing a zero carbon Oxford.</w:t>
            </w:r>
          </w:p>
        </w:tc>
      </w:tr>
      <w:tr w:rsidR="00952C77" w:rsidRPr="00BA4AA1" w14:paraId="625C62D4" w14:textId="77777777" w:rsidTr="00952C77">
        <w:tc>
          <w:tcPr>
            <w:tcW w:w="5382" w:type="dxa"/>
          </w:tcPr>
          <w:p w14:paraId="20386C17" w14:textId="77777777" w:rsidR="00952C77" w:rsidRPr="00BA4AA1" w:rsidRDefault="00952C77" w:rsidP="00BA4AA1">
            <w:pPr>
              <w:rPr>
                <w:rFonts w:ascii="Arial" w:hAnsi="Arial" w:cs="Arial"/>
                <w:color w:val="000000" w:themeColor="text1"/>
                <w:sz w:val="24"/>
                <w:szCs w:val="24"/>
              </w:rPr>
            </w:pPr>
            <w:r w:rsidRPr="00BA4AA1">
              <w:rPr>
                <w:rFonts w:ascii="Arial" w:hAnsi="Arial" w:cs="Arial"/>
                <w:color w:val="000000" w:themeColor="text1"/>
                <w:sz w:val="24"/>
                <w:szCs w:val="24"/>
              </w:rPr>
              <w:t>Using the Local Government Association equalities framework, the City Council will review its performance in meeting the needs of its diverse communities and in particular those groups with protected characteristics under the Equalities Act 2010, and draw up an action plan for improvements where needed.</w:t>
            </w:r>
          </w:p>
        </w:tc>
        <w:tc>
          <w:tcPr>
            <w:tcW w:w="9610" w:type="dxa"/>
          </w:tcPr>
          <w:p w14:paraId="2F9781D4" w14:textId="77777777" w:rsidR="00952C77" w:rsidRPr="00BA4AA1" w:rsidRDefault="00952C77" w:rsidP="00BA4AA1">
            <w:pPr>
              <w:rPr>
                <w:rFonts w:ascii="Arial" w:hAnsi="Arial" w:cs="Arial"/>
                <w:color w:val="000000" w:themeColor="text1"/>
                <w:sz w:val="24"/>
                <w:szCs w:val="24"/>
              </w:rPr>
            </w:pPr>
            <w:r w:rsidRPr="00BA4AA1">
              <w:rPr>
                <w:rFonts w:ascii="Arial" w:eastAsia="Calibri" w:hAnsi="Arial" w:cs="Arial"/>
                <w:color w:val="000000" w:themeColor="text1"/>
                <w:sz w:val="24"/>
                <w:szCs w:val="24"/>
              </w:rPr>
              <w:t>Over the past year, Oxford City Council has undertaken an Equalities Review to identify key priorities in delivering our corporate commitment to tackling equality and to deliver our responsibilities under the Equalities Act, resulting in the development of an action plan.</w:t>
            </w:r>
          </w:p>
        </w:tc>
      </w:tr>
    </w:tbl>
    <w:p w14:paraId="0D483D6E" w14:textId="77777777" w:rsidR="0090164F" w:rsidRPr="00BA4AA1" w:rsidRDefault="0090164F" w:rsidP="00BA4AA1">
      <w:pPr>
        <w:spacing w:after="0" w:line="240" w:lineRule="auto"/>
        <w:rPr>
          <w:rFonts w:ascii="Arial" w:hAnsi="Arial" w:cs="Arial"/>
          <w:color w:val="000000" w:themeColor="text1"/>
          <w:sz w:val="24"/>
          <w:szCs w:val="24"/>
        </w:rPr>
      </w:pPr>
    </w:p>
    <w:tbl>
      <w:tblPr>
        <w:tblStyle w:val="TableGrid"/>
        <w:tblW w:w="14879" w:type="dxa"/>
        <w:tblLook w:val="04A0" w:firstRow="1" w:lastRow="0" w:firstColumn="1" w:lastColumn="0" w:noHBand="0" w:noVBand="1"/>
      </w:tblPr>
      <w:tblGrid>
        <w:gridCol w:w="3487"/>
        <w:gridCol w:w="3487"/>
        <w:gridCol w:w="7905"/>
      </w:tblGrid>
      <w:tr w:rsidR="00650B4F" w:rsidRPr="00BA4AA1" w14:paraId="07CB4F0F" w14:textId="77777777" w:rsidTr="00056D26">
        <w:tc>
          <w:tcPr>
            <w:tcW w:w="3487" w:type="dxa"/>
          </w:tcPr>
          <w:p w14:paraId="27695358" w14:textId="77777777" w:rsidR="00650B4F" w:rsidRPr="00BA4AA1" w:rsidRDefault="00650B4F"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Success Measures</w:t>
            </w:r>
          </w:p>
          <w:p w14:paraId="0EAF1B28" w14:textId="77777777" w:rsidR="00650B4F" w:rsidRPr="00BA4AA1" w:rsidRDefault="00650B4F" w:rsidP="00BA4AA1">
            <w:pPr>
              <w:rPr>
                <w:rFonts w:ascii="Arial" w:hAnsi="Arial" w:cs="Arial"/>
                <w:b/>
                <w:bCs/>
                <w:color w:val="000000" w:themeColor="text1"/>
                <w:sz w:val="24"/>
                <w:szCs w:val="24"/>
              </w:rPr>
            </w:pPr>
          </w:p>
        </w:tc>
        <w:tc>
          <w:tcPr>
            <w:tcW w:w="3487" w:type="dxa"/>
          </w:tcPr>
          <w:p w14:paraId="6EB18C3E" w14:textId="77777777" w:rsidR="00650B4F" w:rsidRPr="00BA4AA1" w:rsidRDefault="00650B4F"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Targets</w:t>
            </w:r>
          </w:p>
          <w:p w14:paraId="2C5E2800" w14:textId="77777777" w:rsidR="00650B4F" w:rsidRPr="00BA4AA1" w:rsidRDefault="00650B4F" w:rsidP="00BA4AA1">
            <w:pPr>
              <w:rPr>
                <w:rFonts w:ascii="Arial" w:hAnsi="Arial" w:cs="Arial"/>
                <w:b/>
                <w:bCs/>
                <w:color w:val="000000" w:themeColor="text1"/>
                <w:sz w:val="24"/>
                <w:szCs w:val="24"/>
              </w:rPr>
            </w:pPr>
          </w:p>
        </w:tc>
        <w:tc>
          <w:tcPr>
            <w:tcW w:w="7905" w:type="dxa"/>
          </w:tcPr>
          <w:p w14:paraId="33315D0B" w14:textId="77777777" w:rsidR="00650B4F" w:rsidRPr="00BA4AA1" w:rsidRDefault="00650B4F" w:rsidP="00BA4AA1">
            <w:pPr>
              <w:rPr>
                <w:rFonts w:ascii="Arial" w:hAnsi="Arial" w:cs="Arial"/>
                <w:b/>
                <w:bCs/>
                <w:color w:val="000000" w:themeColor="text1"/>
                <w:sz w:val="24"/>
                <w:szCs w:val="24"/>
              </w:rPr>
            </w:pPr>
            <w:r w:rsidRPr="00BA4AA1">
              <w:rPr>
                <w:rFonts w:ascii="Arial" w:hAnsi="Arial" w:cs="Arial"/>
                <w:b/>
                <w:bCs/>
                <w:color w:val="000000" w:themeColor="text1"/>
                <w:sz w:val="24"/>
                <w:szCs w:val="24"/>
              </w:rPr>
              <w:t>2019/2020 outcomes</w:t>
            </w:r>
          </w:p>
        </w:tc>
      </w:tr>
      <w:tr w:rsidR="00650B4F" w:rsidRPr="00BA4AA1" w14:paraId="037EB30A" w14:textId="77777777" w:rsidTr="00056D26">
        <w:tc>
          <w:tcPr>
            <w:tcW w:w="3487" w:type="dxa"/>
          </w:tcPr>
          <w:p w14:paraId="1DA4A0AF" w14:textId="77777777" w:rsidR="00650B4F" w:rsidRPr="00BA4AA1" w:rsidRDefault="00650B4F" w:rsidP="00BA4AA1">
            <w:pPr>
              <w:rPr>
                <w:rFonts w:ascii="Arial" w:hAnsi="Arial" w:cs="Arial"/>
                <w:color w:val="000000" w:themeColor="text1"/>
                <w:sz w:val="24"/>
                <w:szCs w:val="24"/>
              </w:rPr>
            </w:pPr>
            <w:r w:rsidRPr="00BA4AA1">
              <w:rPr>
                <w:rFonts w:ascii="Arial" w:hAnsi="Arial" w:cs="Arial"/>
                <w:color w:val="000000" w:themeColor="text1"/>
                <w:sz w:val="24"/>
                <w:szCs w:val="24"/>
              </w:rPr>
              <w:t>Level of staff engagement based on best companies staff survey results</w:t>
            </w:r>
          </w:p>
        </w:tc>
        <w:tc>
          <w:tcPr>
            <w:tcW w:w="3487" w:type="dxa"/>
          </w:tcPr>
          <w:p w14:paraId="4FB50FD2" w14:textId="77777777" w:rsidR="00650B4F" w:rsidRPr="00BA4AA1" w:rsidRDefault="00650B4F" w:rsidP="00BA4AA1">
            <w:pPr>
              <w:rPr>
                <w:rFonts w:ascii="Arial" w:hAnsi="Arial" w:cs="Arial"/>
                <w:color w:val="000000" w:themeColor="text1"/>
                <w:sz w:val="24"/>
                <w:szCs w:val="24"/>
              </w:rPr>
            </w:pPr>
            <w:r w:rsidRPr="00BA4AA1">
              <w:rPr>
                <w:rFonts w:ascii="Arial" w:hAnsi="Arial" w:cs="Arial"/>
                <w:color w:val="000000" w:themeColor="text1"/>
                <w:sz w:val="24"/>
                <w:szCs w:val="24"/>
              </w:rPr>
              <w:t>Positive</w:t>
            </w:r>
          </w:p>
        </w:tc>
        <w:tc>
          <w:tcPr>
            <w:tcW w:w="7905" w:type="dxa"/>
          </w:tcPr>
          <w:p w14:paraId="702CD89B" w14:textId="7CD4F2D4" w:rsidR="00650B4F" w:rsidRPr="00F7704A" w:rsidRDefault="00650B4F" w:rsidP="00F7704A">
            <w:pPr>
              <w:rPr>
                <w:rFonts w:ascii="Arial" w:hAnsi="Arial" w:cs="Arial"/>
                <w:color w:val="000000" w:themeColor="text1"/>
                <w:sz w:val="24"/>
                <w:szCs w:val="24"/>
              </w:rPr>
            </w:pPr>
            <w:r w:rsidRPr="00F7704A">
              <w:rPr>
                <w:rFonts w:ascii="Arial" w:hAnsi="Arial" w:cs="Arial"/>
                <w:color w:val="000000" w:themeColor="text1"/>
                <w:sz w:val="24"/>
                <w:szCs w:val="24"/>
              </w:rPr>
              <w:t>Measured every 3 years – next survey scheduled in 2020</w:t>
            </w:r>
          </w:p>
        </w:tc>
      </w:tr>
      <w:tr w:rsidR="00650B4F" w:rsidRPr="00BA4AA1" w14:paraId="44D6EF5D" w14:textId="77777777" w:rsidTr="00056D26">
        <w:tc>
          <w:tcPr>
            <w:tcW w:w="3487" w:type="dxa"/>
          </w:tcPr>
          <w:p w14:paraId="2EA73C82" w14:textId="77777777" w:rsidR="00650B4F" w:rsidRPr="00BA4AA1" w:rsidRDefault="00650B4F" w:rsidP="00BA4AA1">
            <w:pPr>
              <w:rPr>
                <w:rFonts w:ascii="Arial" w:hAnsi="Arial" w:cs="Arial"/>
                <w:color w:val="000000" w:themeColor="text1"/>
                <w:sz w:val="24"/>
                <w:szCs w:val="24"/>
              </w:rPr>
            </w:pPr>
            <w:r w:rsidRPr="00BA4AA1">
              <w:rPr>
                <w:rFonts w:ascii="Arial" w:hAnsi="Arial" w:cs="Arial"/>
                <w:color w:val="000000" w:themeColor="text1"/>
                <w:sz w:val="24"/>
                <w:szCs w:val="24"/>
              </w:rPr>
              <w:t>The percentage of customer satisfied at first contact</w:t>
            </w:r>
          </w:p>
        </w:tc>
        <w:tc>
          <w:tcPr>
            <w:tcW w:w="3487" w:type="dxa"/>
          </w:tcPr>
          <w:p w14:paraId="60C911B4" w14:textId="77777777" w:rsidR="00650B4F" w:rsidRPr="00BA4AA1" w:rsidRDefault="00650B4F" w:rsidP="00BA4AA1">
            <w:pPr>
              <w:rPr>
                <w:rFonts w:ascii="Arial" w:hAnsi="Arial" w:cs="Arial"/>
                <w:color w:val="000000" w:themeColor="text1"/>
                <w:sz w:val="24"/>
                <w:szCs w:val="24"/>
              </w:rPr>
            </w:pPr>
            <w:r w:rsidRPr="00BA4AA1">
              <w:rPr>
                <w:rFonts w:ascii="Arial" w:hAnsi="Arial" w:cs="Arial"/>
                <w:color w:val="000000" w:themeColor="text1"/>
                <w:sz w:val="24"/>
                <w:szCs w:val="24"/>
              </w:rPr>
              <w:t>85%</w:t>
            </w:r>
          </w:p>
        </w:tc>
        <w:tc>
          <w:tcPr>
            <w:tcW w:w="7905" w:type="dxa"/>
          </w:tcPr>
          <w:p w14:paraId="1CB9155D" w14:textId="77777777" w:rsidR="00650B4F" w:rsidRPr="00F7704A" w:rsidRDefault="00650B4F" w:rsidP="00BA4AA1">
            <w:pPr>
              <w:rPr>
                <w:rFonts w:ascii="Arial" w:hAnsi="Arial" w:cs="Arial"/>
                <w:color w:val="000000" w:themeColor="text1"/>
                <w:sz w:val="24"/>
                <w:szCs w:val="24"/>
              </w:rPr>
            </w:pPr>
            <w:r w:rsidRPr="00F7704A">
              <w:rPr>
                <w:rFonts w:ascii="Arial" w:hAnsi="Arial" w:cs="Arial"/>
                <w:color w:val="000000" w:themeColor="text1"/>
                <w:sz w:val="24"/>
                <w:szCs w:val="24"/>
              </w:rPr>
              <w:t>86%</w:t>
            </w:r>
          </w:p>
          <w:p w14:paraId="037544A4" w14:textId="77777777" w:rsidR="00650B4F" w:rsidRPr="00F7704A" w:rsidRDefault="00650B4F" w:rsidP="00BA4AA1">
            <w:pPr>
              <w:rPr>
                <w:rFonts w:ascii="Arial" w:hAnsi="Arial" w:cs="Arial"/>
                <w:b/>
                <w:bCs/>
                <w:color w:val="000000" w:themeColor="text1"/>
                <w:sz w:val="24"/>
                <w:szCs w:val="24"/>
              </w:rPr>
            </w:pPr>
          </w:p>
        </w:tc>
      </w:tr>
      <w:tr w:rsidR="00650B4F" w:rsidRPr="00BA4AA1" w14:paraId="67891E9A" w14:textId="77777777" w:rsidTr="00056D26">
        <w:tc>
          <w:tcPr>
            <w:tcW w:w="3487" w:type="dxa"/>
          </w:tcPr>
          <w:p w14:paraId="04A9ADF0" w14:textId="77777777" w:rsidR="00650B4F" w:rsidRPr="00BA4AA1" w:rsidRDefault="00650B4F" w:rsidP="00BA4AA1">
            <w:pPr>
              <w:rPr>
                <w:rFonts w:ascii="Arial" w:hAnsi="Arial" w:cs="Arial"/>
                <w:color w:val="000000" w:themeColor="text1"/>
                <w:sz w:val="24"/>
                <w:szCs w:val="24"/>
              </w:rPr>
            </w:pPr>
            <w:r w:rsidRPr="00BA4AA1">
              <w:rPr>
                <w:rFonts w:ascii="Arial" w:hAnsi="Arial" w:cs="Arial"/>
                <w:color w:val="000000" w:themeColor="text1"/>
                <w:sz w:val="24"/>
                <w:szCs w:val="24"/>
              </w:rPr>
              <w:t>Delivery of the Council’s cost savings and</w:t>
            </w:r>
          </w:p>
          <w:p w14:paraId="7C8279EB" w14:textId="77777777" w:rsidR="00650B4F" w:rsidRPr="00BA4AA1" w:rsidRDefault="00650B4F" w:rsidP="00BA4AA1">
            <w:pPr>
              <w:rPr>
                <w:rFonts w:ascii="Arial" w:hAnsi="Arial" w:cs="Arial"/>
                <w:color w:val="000000" w:themeColor="text1"/>
                <w:sz w:val="24"/>
                <w:szCs w:val="24"/>
              </w:rPr>
            </w:pPr>
            <w:r w:rsidRPr="00BA4AA1">
              <w:rPr>
                <w:rFonts w:ascii="Arial" w:hAnsi="Arial" w:cs="Arial"/>
                <w:color w:val="000000" w:themeColor="text1"/>
                <w:sz w:val="24"/>
                <w:szCs w:val="24"/>
              </w:rPr>
              <w:t>income targets</w:t>
            </w:r>
          </w:p>
        </w:tc>
        <w:tc>
          <w:tcPr>
            <w:tcW w:w="3487" w:type="dxa"/>
          </w:tcPr>
          <w:p w14:paraId="348C333E" w14:textId="77777777" w:rsidR="00650B4F" w:rsidRPr="00E82F1E" w:rsidRDefault="000C20B7" w:rsidP="00BA4AA1">
            <w:pPr>
              <w:rPr>
                <w:rFonts w:ascii="Arial" w:hAnsi="Arial" w:cs="Arial"/>
                <w:sz w:val="24"/>
                <w:szCs w:val="24"/>
              </w:rPr>
            </w:pPr>
            <w:r w:rsidRPr="00E82F1E">
              <w:rPr>
                <w:rFonts w:ascii="Arial" w:hAnsi="Arial" w:cs="Arial"/>
                <w:sz w:val="24"/>
                <w:szCs w:val="24"/>
              </w:rPr>
              <w:t>£5,221,000</w:t>
            </w:r>
          </w:p>
        </w:tc>
        <w:tc>
          <w:tcPr>
            <w:tcW w:w="7905" w:type="dxa"/>
          </w:tcPr>
          <w:p w14:paraId="0196A991" w14:textId="77777777" w:rsidR="009F738A" w:rsidRPr="00F7704A" w:rsidRDefault="00E82F1E" w:rsidP="009F738A">
            <w:pPr>
              <w:rPr>
                <w:rFonts w:ascii="Arial" w:hAnsi="Arial" w:cs="Arial"/>
              </w:rPr>
            </w:pPr>
            <w:r w:rsidRPr="00F7704A">
              <w:rPr>
                <w:rFonts w:ascii="Arial" w:hAnsi="Arial" w:cs="Arial"/>
              </w:rPr>
              <w:t>Savings and income targets were made in full</w:t>
            </w:r>
          </w:p>
          <w:p w14:paraId="0BF3E390" w14:textId="77777777" w:rsidR="009F738A" w:rsidRPr="00F7704A" w:rsidRDefault="009F738A" w:rsidP="009F738A">
            <w:pPr>
              <w:rPr>
                <w:rFonts w:ascii="Arial" w:hAnsi="Arial" w:cs="Arial"/>
              </w:rPr>
            </w:pPr>
          </w:p>
          <w:p w14:paraId="266DD485" w14:textId="77777777" w:rsidR="009F738A" w:rsidRPr="00F7704A" w:rsidRDefault="009F738A" w:rsidP="009F738A">
            <w:pPr>
              <w:rPr>
                <w:rFonts w:ascii="Arial" w:hAnsi="Arial" w:cs="Arial"/>
                <w:sz w:val="24"/>
                <w:szCs w:val="24"/>
              </w:rPr>
            </w:pPr>
            <w:r w:rsidRPr="00F7704A">
              <w:rPr>
                <w:rFonts w:ascii="Arial" w:hAnsi="Arial" w:cs="Arial"/>
                <w:sz w:val="24"/>
                <w:szCs w:val="24"/>
              </w:rPr>
              <w:lastRenderedPageBreak/>
              <w:t>For the cabinet report Oxford City Council has continued to deliver efficiency savings during 2019/20 to a value of £0.951 million in addition to £1.648 million achieved in the previous 3 years.</w:t>
            </w:r>
          </w:p>
          <w:p w14:paraId="5E7EC30D" w14:textId="77777777" w:rsidR="009F738A" w:rsidRPr="00E01E70" w:rsidRDefault="009F738A" w:rsidP="009F738A">
            <w:pPr>
              <w:rPr>
                <w:rFonts w:ascii="Arial" w:hAnsi="Arial" w:cs="Arial"/>
              </w:rPr>
            </w:pPr>
          </w:p>
          <w:p w14:paraId="400DABEB" w14:textId="77777777" w:rsidR="00650B4F" w:rsidRPr="00E01E70" w:rsidRDefault="00650B4F" w:rsidP="001E7ECD">
            <w:pPr>
              <w:rPr>
                <w:rFonts w:ascii="Arial" w:hAnsi="Arial" w:cs="Arial"/>
                <w:b/>
                <w:bCs/>
                <w:sz w:val="24"/>
                <w:szCs w:val="24"/>
              </w:rPr>
            </w:pPr>
          </w:p>
        </w:tc>
      </w:tr>
    </w:tbl>
    <w:p w14:paraId="1267D7AF" w14:textId="77777777" w:rsidR="0090164F" w:rsidRPr="00BA4AA1" w:rsidRDefault="0090164F" w:rsidP="000352E2">
      <w:pPr>
        <w:spacing w:after="0" w:line="240" w:lineRule="auto"/>
        <w:rPr>
          <w:rFonts w:ascii="Arial" w:hAnsi="Arial" w:cs="Arial"/>
          <w:color w:val="000000" w:themeColor="text1"/>
          <w:sz w:val="24"/>
          <w:szCs w:val="24"/>
        </w:rPr>
      </w:pPr>
    </w:p>
    <w:sectPr w:rsidR="0090164F" w:rsidRPr="00BA4AA1" w:rsidSect="00056D26">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E980" w14:textId="77777777" w:rsidR="00371D5E" w:rsidRDefault="00371D5E" w:rsidP="00371D5E">
      <w:pPr>
        <w:spacing w:after="0" w:line="240" w:lineRule="auto"/>
      </w:pPr>
      <w:r>
        <w:separator/>
      </w:r>
    </w:p>
  </w:endnote>
  <w:endnote w:type="continuationSeparator" w:id="0">
    <w:p w14:paraId="7E040B94" w14:textId="77777777" w:rsidR="00371D5E" w:rsidRDefault="00371D5E" w:rsidP="0037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89A3" w14:textId="77777777" w:rsidR="00371D5E" w:rsidRDefault="00371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5858" w14:textId="77777777" w:rsidR="00371D5E" w:rsidRDefault="00371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DAB1" w14:textId="77777777" w:rsidR="00371D5E" w:rsidRDefault="0037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CF9DE" w14:textId="77777777" w:rsidR="00371D5E" w:rsidRDefault="00371D5E" w:rsidP="00371D5E">
      <w:pPr>
        <w:spacing w:after="0" w:line="240" w:lineRule="auto"/>
      </w:pPr>
      <w:r>
        <w:separator/>
      </w:r>
    </w:p>
  </w:footnote>
  <w:footnote w:type="continuationSeparator" w:id="0">
    <w:p w14:paraId="2CC49403" w14:textId="77777777" w:rsidR="00371D5E" w:rsidRDefault="00371D5E" w:rsidP="00371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180B" w14:textId="77777777" w:rsidR="00371D5E" w:rsidRDefault="0037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3FE5" w14:textId="3A1EBE2E" w:rsidR="00371D5E" w:rsidRPr="00371D5E" w:rsidRDefault="00371D5E">
    <w:pPr>
      <w:pStyle w:val="Header"/>
      <w:rPr>
        <w:sz w:val="48"/>
        <w:szCs w:val="48"/>
      </w:rPr>
    </w:pPr>
    <w:r>
      <w:rPr>
        <w:sz w:val="48"/>
        <w:szCs w:val="48"/>
      </w:rPr>
      <w:tab/>
    </w:r>
    <w:r>
      <w:rPr>
        <w:sz w:val="48"/>
        <w:szCs w:val="48"/>
      </w:rPr>
      <w:tab/>
    </w:r>
    <w:r>
      <w:rPr>
        <w:sz w:val="48"/>
        <w:szCs w:val="48"/>
      </w:rPr>
      <w:tab/>
    </w:r>
    <w:r>
      <w:rPr>
        <w:sz w:val="48"/>
        <w:szCs w:val="48"/>
      </w:rPr>
      <w:tab/>
    </w:r>
    <w:bookmarkStart w:id="0" w:name="_GoBack"/>
    <w:bookmarkEnd w:id="0"/>
    <w:r w:rsidRPr="00371D5E">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CC4C" w14:textId="77777777" w:rsidR="00371D5E" w:rsidRDefault="0037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527AE"/>
    <w:multiLevelType w:val="hybridMultilevel"/>
    <w:tmpl w:val="F47CC36C"/>
    <w:lvl w:ilvl="0" w:tplc="76EA5D68">
      <w:start w:val="1"/>
      <w:numFmt w:val="bullet"/>
      <w:lvlText w:val=""/>
      <w:lvlJc w:val="left"/>
      <w:pPr>
        <w:ind w:left="720" w:hanging="360"/>
      </w:pPr>
      <w:rPr>
        <w:rFonts w:ascii="Symbol" w:hAnsi="Symbol" w:hint="default"/>
      </w:rPr>
    </w:lvl>
    <w:lvl w:ilvl="1" w:tplc="E800D22A">
      <w:start w:val="1"/>
      <w:numFmt w:val="bullet"/>
      <w:lvlText w:val="o"/>
      <w:lvlJc w:val="left"/>
      <w:pPr>
        <w:ind w:left="1440" w:hanging="360"/>
      </w:pPr>
      <w:rPr>
        <w:rFonts w:ascii="Courier New" w:hAnsi="Courier New" w:hint="default"/>
      </w:rPr>
    </w:lvl>
    <w:lvl w:ilvl="2" w:tplc="0D26F15C">
      <w:start w:val="1"/>
      <w:numFmt w:val="bullet"/>
      <w:lvlText w:val=""/>
      <w:lvlJc w:val="left"/>
      <w:pPr>
        <w:ind w:left="2160" w:hanging="360"/>
      </w:pPr>
      <w:rPr>
        <w:rFonts w:ascii="Wingdings" w:hAnsi="Wingdings" w:hint="default"/>
      </w:rPr>
    </w:lvl>
    <w:lvl w:ilvl="3" w:tplc="0EAAED04">
      <w:start w:val="1"/>
      <w:numFmt w:val="bullet"/>
      <w:lvlText w:val=""/>
      <w:lvlJc w:val="left"/>
      <w:pPr>
        <w:ind w:left="2880" w:hanging="360"/>
      </w:pPr>
      <w:rPr>
        <w:rFonts w:ascii="Symbol" w:hAnsi="Symbol" w:hint="default"/>
      </w:rPr>
    </w:lvl>
    <w:lvl w:ilvl="4" w:tplc="504CC3D6">
      <w:start w:val="1"/>
      <w:numFmt w:val="bullet"/>
      <w:lvlText w:val="o"/>
      <w:lvlJc w:val="left"/>
      <w:pPr>
        <w:ind w:left="3600" w:hanging="360"/>
      </w:pPr>
      <w:rPr>
        <w:rFonts w:ascii="Courier New" w:hAnsi="Courier New" w:hint="default"/>
      </w:rPr>
    </w:lvl>
    <w:lvl w:ilvl="5" w:tplc="6486DD74">
      <w:start w:val="1"/>
      <w:numFmt w:val="bullet"/>
      <w:lvlText w:val=""/>
      <w:lvlJc w:val="left"/>
      <w:pPr>
        <w:ind w:left="4320" w:hanging="360"/>
      </w:pPr>
      <w:rPr>
        <w:rFonts w:ascii="Wingdings" w:hAnsi="Wingdings" w:hint="default"/>
      </w:rPr>
    </w:lvl>
    <w:lvl w:ilvl="6" w:tplc="3B70B2C8">
      <w:start w:val="1"/>
      <w:numFmt w:val="bullet"/>
      <w:lvlText w:val=""/>
      <w:lvlJc w:val="left"/>
      <w:pPr>
        <w:ind w:left="5040" w:hanging="360"/>
      </w:pPr>
      <w:rPr>
        <w:rFonts w:ascii="Symbol" w:hAnsi="Symbol" w:hint="default"/>
      </w:rPr>
    </w:lvl>
    <w:lvl w:ilvl="7" w:tplc="3E025AF4">
      <w:start w:val="1"/>
      <w:numFmt w:val="bullet"/>
      <w:lvlText w:val="o"/>
      <w:lvlJc w:val="left"/>
      <w:pPr>
        <w:ind w:left="5760" w:hanging="360"/>
      </w:pPr>
      <w:rPr>
        <w:rFonts w:ascii="Courier New" w:hAnsi="Courier New" w:hint="default"/>
      </w:rPr>
    </w:lvl>
    <w:lvl w:ilvl="8" w:tplc="9E6AC004">
      <w:start w:val="1"/>
      <w:numFmt w:val="bullet"/>
      <w:lvlText w:val=""/>
      <w:lvlJc w:val="left"/>
      <w:pPr>
        <w:ind w:left="6480" w:hanging="360"/>
      </w:pPr>
      <w:rPr>
        <w:rFonts w:ascii="Wingdings" w:hAnsi="Wingdings" w:hint="default"/>
      </w:rPr>
    </w:lvl>
  </w:abstractNum>
  <w:abstractNum w:abstractNumId="1" w15:restartNumberingAfterBreak="0">
    <w:nsid w:val="58393D40"/>
    <w:multiLevelType w:val="hybridMultilevel"/>
    <w:tmpl w:val="FACE6B9A"/>
    <w:lvl w:ilvl="0" w:tplc="4AC0327C">
      <w:start w:val="1"/>
      <w:numFmt w:val="bullet"/>
      <w:lvlText w:val=""/>
      <w:lvlJc w:val="left"/>
      <w:pPr>
        <w:ind w:left="720" w:hanging="360"/>
      </w:pPr>
      <w:rPr>
        <w:rFonts w:ascii="Symbol" w:hAnsi="Symbol" w:hint="default"/>
      </w:rPr>
    </w:lvl>
    <w:lvl w:ilvl="1" w:tplc="097E88D2">
      <w:start w:val="1"/>
      <w:numFmt w:val="bullet"/>
      <w:lvlText w:val="o"/>
      <w:lvlJc w:val="left"/>
      <w:pPr>
        <w:ind w:left="1440" w:hanging="360"/>
      </w:pPr>
      <w:rPr>
        <w:rFonts w:ascii="Courier New" w:hAnsi="Courier New" w:hint="default"/>
      </w:rPr>
    </w:lvl>
    <w:lvl w:ilvl="2" w:tplc="8070E88A">
      <w:start w:val="1"/>
      <w:numFmt w:val="bullet"/>
      <w:lvlText w:val=""/>
      <w:lvlJc w:val="left"/>
      <w:pPr>
        <w:ind w:left="2160" w:hanging="360"/>
      </w:pPr>
      <w:rPr>
        <w:rFonts w:ascii="Wingdings" w:hAnsi="Wingdings" w:hint="default"/>
      </w:rPr>
    </w:lvl>
    <w:lvl w:ilvl="3" w:tplc="A4F03086">
      <w:start w:val="1"/>
      <w:numFmt w:val="bullet"/>
      <w:lvlText w:val=""/>
      <w:lvlJc w:val="left"/>
      <w:pPr>
        <w:ind w:left="2880" w:hanging="360"/>
      </w:pPr>
      <w:rPr>
        <w:rFonts w:ascii="Symbol" w:hAnsi="Symbol" w:hint="default"/>
      </w:rPr>
    </w:lvl>
    <w:lvl w:ilvl="4" w:tplc="CCAA5148">
      <w:start w:val="1"/>
      <w:numFmt w:val="bullet"/>
      <w:lvlText w:val="o"/>
      <w:lvlJc w:val="left"/>
      <w:pPr>
        <w:ind w:left="3600" w:hanging="360"/>
      </w:pPr>
      <w:rPr>
        <w:rFonts w:ascii="Courier New" w:hAnsi="Courier New" w:hint="default"/>
      </w:rPr>
    </w:lvl>
    <w:lvl w:ilvl="5" w:tplc="A1AA70D2">
      <w:start w:val="1"/>
      <w:numFmt w:val="bullet"/>
      <w:lvlText w:val=""/>
      <w:lvlJc w:val="left"/>
      <w:pPr>
        <w:ind w:left="4320" w:hanging="360"/>
      </w:pPr>
      <w:rPr>
        <w:rFonts w:ascii="Wingdings" w:hAnsi="Wingdings" w:hint="default"/>
      </w:rPr>
    </w:lvl>
    <w:lvl w:ilvl="6" w:tplc="969414EE">
      <w:start w:val="1"/>
      <w:numFmt w:val="bullet"/>
      <w:lvlText w:val=""/>
      <w:lvlJc w:val="left"/>
      <w:pPr>
        <w:ind w:left="5040" w:hanging="360"/>
      </w:pPr>
      <w:rPr>
        <w:rFonts w:ascii="Symbol" w:hAnsi="Symbol" w:hint="default"/>
      </w:rPr>
    </w:lvl>
    <w:lvl w:ilvl="7" w:tplc="49722ADE">
      <w:start w:val="1"/>
      <w:numFmt w:val="bullet"/>
      <w:lvlText w:val="o"/>
      <w:lvlJc w:val="left"/>
      <w:pPr>
        <w:ind w:left="5760" w:hanging="360"/>
      </w:pPr>
      <w:rPr>
        <w:rFonts w:ascii="Courier New" w:hAnsi="Courier New" w:hint="default"/>
      </w:rPr>
    </w:lvl>
    <w:lvl w:ilvl="8" w:tplc="D256C292">
      <w:start w:val="1"/>
      <w:numFmt w:val="bullet"/>
      <w:lvlText w:val=""/>
      <w:lvlJc w:val="left"/>
      <w:pPr>
        <w:ind w:left="6480" w:hanging="360"/>
      </w:pPr>
      <w:rPr>
        <w:rFonts w:ascii="Wingdings" w:hAnsi="Wingdings" w:hint="default"/>
      </w:rPr>
    </w:lvl>
  </w:abstractNum>
  <w:abstractNum w:abstractNumId="2" w15:restartNumberingAfterBreak="0">
    <w:nsid w:val="65320D97"/>
    <w:multiLevelType w:val="hybridMultilevel"/>
    <w:tmpl w:val="FBE64EDC"/>
    <w:lvl w:ilvl="0" w:tplc="E31C6F14">
      <w:start w:val="1"/>
      <w:numFmt w:val="bullet"/>
      <w:lvlText w:val=""/>
      <w:lvlJc w:val="left"/>
      <w:pPr>
        <w:ind w:left="720" w:hanging="360"/>
      </w:pPr>
      <w:rPr>
        <w:rFonts w:ascii="Symbol" w:hAnsi="Symbol" w:hint="default"/>
      </w:rPr>
    </w:lvl>
    <w:lvl w:ilvl="1" w:tplc="C4E2937A">
      <w:start w:val="1"/>
      <w:numFmt w:val="bullet"/>
      <w:lvlText w:val="o"/>
      <w:lvlJc w:val="left"/>
      <w:pPr>
        <w:ind w:left="1440" w:hanging="360"/>
      </w:pPr>
      <w:rPr>
        <w:rFonts w:ascii="Courier New" w:hAnsi="Courier New" w:hint="default"/>
      </w:rPr>
    </w:lvl>
    <w:lvl w:ilvl="2" w:tplc="4DBCA276">
      <w:start w:val="1"/>
      <w:numFmt w:val="bullet"/>
      <w:lvlText w:val=""/>
      <w:lvlJc w:val="left"/>
      <w:pPr>
        <w:ind w:left="2160" w:hanging="360"/>
      </w:pPr>
      <w:rPr>
        <w:rFonts w:ascii="Wingdings" w:hAnsi="Wingdings" w:hint="default"/>
      </w:rPr>
    </w:lvl>
    <w:lvl w:ilvl="3" w:tplc="20C43F9E">
      <w:start w:val="1"/>
      <w:numFmt w:val="bullet"/>
      <w:lvlText w:val=""/>
      <w:lvlJc w:val="left"/>
      <w:pPr>
        <w:ind w:left="2880" w:hanging="360"/>
      </w:pPr>
      <w:rPr>
        <w:rFonts w:ascii="Symbol" w:hAnsi="Symbol" w:hint="default"/>
      </w:rPr>
    </w:lvl>
    <w:lvl w:ilvl="4" w:tplc="095A3E62">
      <w:start w:val="1"/>
      <w:numFmt w:val="bullet"/>
      <w:lvlText w:val="o"/>
      <w:lvlJc w:val="left"/>
      <w:pPr>
        <w:ind w:left="3600" w:hanging="360"/>
      </w:pPr>
      <w:rPr>
        <w:rFonts w:ascii="Courier New" w:hAnsi="Courier New" w:hint="default"/>
      </w:rPr>
    </w:lvl>
    <w:lvl w:ilvl="5" w:tplc="B3462E60">
      <w:start w:val="1"/>
      <w:numFmt w:val="bullet"/>
      <w:lvlText w:val=""/>
      <w:lvlJc w:val="left"/>
      <w:pPr>
        <w:ind w:left="4320" w:hanging="360"/>
      </w:pPr>
      <w:rPr>
        <w:rFonts w:ascii="Wingdings" w:hAnsi="Wingdings" w:hint="default"/>
      </w:rPr>
    </w:lvl>
    <w:lvl w:ilvl="6" w:tplc="A8402F30">
      <w:start w:val="1"/>
      <w:numFmt w:val="bullet"/>
      <w:lvlText w:val=""/>
      <w:lvlJc w:val="left"/>
      <w:pPr>
        <w:ind w:left="5040" w:hanging="360"/>
      </w:pPr>
      <w:rPr>
        <w:rFonts w:ascii="Symbol" w:hAnsi="Symbol" w:hint="default"/>
      </w:rPr>
    </w:lvl>
    <w:lvl w:ilvl="7" w:tplc="98B85478">
      <w:start w:val="1"/>
      <w:numFmt w:val="bullet"/>
      <w:lvlText w:val="o"/>
      <w:lvlJc w:val="left"/>
      <w:pPr>
        <w:ind w:left="5760" w:hanging="360"/>
      </w:pPr>
      <w:rPr>
        <w:rFonts w:ascii="Courier New" w:hAnsi="Courier New" w:hint="default"/>
      </w:rPr>
    </w:lvl>
    <w:lvl w:ilvl="8" w:tplc="EC7631F4">
      <w:start w:val="1"/>
      <w:numFmt w:val="bullet"/>
      <w:lvlText w:val=""/>
      <w:lvlJc w:val="left"/>
      <w:pPr>
        <w:ind w:left="6480" w:hanging="360"/>
      </w:pPr>
      <w:rPr>
        <w:rFonts w:ascii="Wingdings" w:hAnsi="Wingdings" w:hint="default"/>
      </w:rPr>
    </w:lvl>
  </w:abstractNum>
  <w:abstractNum w:abstractNumId="3" w15:restartNumberingAfterBreak="0">
    <w:nsid w:val="7AF97104"/>
    <w:multiLevelType w:val="hybridMultilevel"/>
    <w:tmpl w:val="00CCE98A"/>
    <w:lvl w:ilvl="0" w:tplc="DE981DCE">
      <w:start w:val="1"/>
      <w:numFmt w:val="bullet"/>
      <w:lvlText w:val=""/>
      <w:lvlJc w:val="left"/>
      <w:pPr>
        <w:ind w:left="720" w:hanging="360"/>
      </w:pPr>
      <w:rPr>
        <w:rFonts w:ascii="Symbol" w:hAnsi="Symbol" w:hint="default"/>
      </w:rPr>
    </w:lvl>
    <w:lvl w:ilvl="1" w:tplc="B60220B8">
      <w:start w:val="1"/>
      <w:numFmt w:val="bullet"/>
      <w:lvlText w:val="o"/>
      <w:lvlJc w:val="left"/>
      <w:pPr>
        <w:ind w:left="1440" w:hanging="360"/>
      </w:pPr>
      <w:rPr>
        <w:rFonts w:ascii="Courier New" w:hAnsi="Courier New" w:hint="default"/>
      </w:rPr>
    </w:lvl>
    <w:lvl w:ilvl="2" w:tplc="77DA4B08">
      <w:start w:val="1"/>
      <w:numFmt w:val="bullet"/>
      <w:lvlText w:val=""/>
      <w:lvlJc w:val="left"/>
      <w:pPr>
        <w:ind w:left="2160" w:hanging="360"/>
      </w:pPr>
      <w:rPr>
        <w:rFonts w:ascii="Wingdings" w:hAnsi="Wingdings" w:hint="default"/>
      </w:rPr>
    </w:lvl>
    <w:lvl w:ilvl="3" w:tplc="C3CE6F00">
      <w:start w:val="1"/>
      <w:numFmt w:val="bullet"/>
      <w:lvlText w:val=""/>
      <w:lvlJc w:val="left"/>
      <w:pPr>
        <w:ind w:left="2880" w:hanging="360"/>
      </w:pPr>
      <w:rPr>
        <w:rFonts w:ascii="Symbol" w:hAnsi="Symbol" w:hint="default"/>
      </w:rPr>
    </w:lvl>
    <w:lvl w:ilvl="4" w:tplc="EE9A2BFE">
      <w:start w:val="1"/>
      <w:numFmt w:val="bullet"/>
      <w:lvlText w:val="o"/>
      <w:lvlJc w:val="left"/>
      <w:pPr>
        <w:ind w:left="3600" w:hanging="360"/>
      </w:pPr>
      <w:rPr>
        <w:rFonts w:ascii="Courier New" w:hAnsi="Courier New" w:hint="default"/>
      </w:rPr>
    </w:lvl>
    <w:lvl w:ilvl="5" w:tplc="0FD4A448">
      <w:start w:val="1"/>
      <w:numFmt w:val="bullet"/>
      <w:lvlText w:val=""/>
      <w:lvlJc w:val="left"/>
      <w:pPr>
        <w:ind w:left="4320" w:hanging="360"/>
      </w:pPr>
      <w:rPr>
        <w:rFonts w:ascii="Wingdings" w:hAnsi="Wingdings" w:hint="default"/>
      </w:rPr>
    </w:lvl>
    <w:lvl w:ilvl="6" w:tplc="FABA62F8">
      <w:start w:val="1"/>
      <w:numFmt w:val="bullet"/>
      <w:lvlText w:val=""/>
      <w:lvlJc w:val="left"/>
      <w:pPr>
        <w:ind w:left="5040" w:hanging="360"/>
      </w:pPr>
      <w:rPr>
        <w:rFonts w:ascii="Symbol" w:hAnsi="Symbol" w:hint="default"/>
      </w:rPr>
    </w:lvl>
    <w:lvl w:ilvl="7" w:tplc="1B8ADFB2">
      <w:start w:val="1"/>
      <w:numFmt w:val="bullet"/>
      <w:lvlText w:val="o"/>
      <w:lvlJc w:val="left"/>
      <w:pPr>
        <w:ind w:left="5760" w:hanging="360"/>
      </w:pPr>
      <w:rPr>
        <w:rFonts w:ascii="Courier New" w:hAnsi="Courier New" w:hint="default"/>
      </w:rPr>
    </w:lvl>
    <w:lvl w:ilvl="8" w:tplc="5DCCAFC4">
      <w:start w:val="1"/>
      <w:numFmt w:val="bullet"/>
      <w:lvlText w:val=""/>
      <w:lvlJc w:val="left"/>
      <w:pPr>
        <w:ind w:left="6480" w:hanging="360"/>
      </w:pPr>
      <w:rPr>
        <w:rFonts w:ascii="Wingdings" w:hAnsi="Wingdings" w:hint="default"/>
      </w:rPr>
    </w:lvl>
  </w:abstractNum>
  <w:abstractNum w:abstractNumId="4" w15:restartNumberingAfterBreak="0">
    <w:nsid w:val="7F0F2407"/>
    <w:multiLevelType w:val="hybridMultilevel"/>
    <w:tmpl w:val="A4E4359E"/>
    <w:lvl w:ilvl="0" w:tplc="3E34BA44">
      <w:start w:val="1"/>
      <w:numFmt w:val="bullet"/>
      <w:lvlText w:val=""/>
      <w:lvlJc w:val="left"/>
      <w:pPr>
        <w:ind w:left="720" w:hanging="360"/>
      </w:pPr>
      <w:rPr>
        <w:rFonts w:ascii="Symbol" w:hAnsi="Symbol" w:hint="default"/>
      </w:rPr>
    </w:lvl>
    <w:lvl w:ilvl="1" w:tplc="4084846E">
      <w:start w:val="1"/>
      <w:numFmt w:val="bullet"/>
      <w:lvlText w:val="o"/>
      <w:lvlJc w:val="left"/>
      <w:pPr>
        <w:ind w:left="1440" w:hanging="360"/>
      </w:pPr>
      <w:rPr>
        <w:rFonts w:ascii="Courier New" w:hAnsi="Courier New" w:hint="default"/>
      </w:rPr>
    </w:lvl>
    <w:lvl w:ilvl="2" w:tplc="E8B2AEF2">
      <w:start w:val="1"/>
      <w:numFmt w:val="bullet"/>
      <w:lvlText w:val=""/>
      <w:lvlJc w:val="left"/>
      <w:pPr>
        <w:ind w:left="2160" w:hanging="360"/>
      </w:pPr>
      <w:rPr>
        <w:rFonts w:ascii="Wingdings" w:hAnsi="Wingdings" w:hint="default"/>
      </w:rPr>
    </w:lvl>
    <w:lvl w:ilvl="3" w:tplc="0658C85C">
      <w:start w:val="1"/>
      <w:numFmt w:val="bullet"/>
      <w:lvlText w:val=""/>
      <w:lvlJc w:val="left"/>
      <w:pPr>
        <w:ind w:left="2880" w:hanging="360"/>
      </w:pPr>
      <w:rPr>
        <w:rFonts w:ascii="Symbol" w:hAnsi="Symbol" w:hint="default"/>
      </w:rPr>
    </w:lvl>
    <w:lvl w:ilvl="4" w:tplc="02B057BE">
      <w:start w:val="1"/>
      <w:numFmt w:val="bullet"/>
      <w:lvlText w:val="o"/>
      <w:lvlJc w:val="left"/>
      <w:pPr>
        <w:ind w:left="3600" w:hanging="360"/>
      </w:pPr>
      <w:rPr>
        <w:rFonts w:ascii="Courier New" w:hAnsi="Courier New" w:hint="default"/>
      </w:rPr>
    </w:lvl>
    <w:lvl w:ilvl="5" w:tplc="7B3ACA18">
      <w:start w:val="1"/>
      <w:numFmt w:val="bullet"/>
      <w:lvlText w:val=""/>
      <w:lvlJc w:val="left"/>
      <w:pPr>
        <w:ind w:left="4320" w:hanging="360"/>
      </w:pPr>
      <w:rPr>
        <w:rFonts w:ascii="Wingdings" w:hAnsi="Wingdings" w:hint="default"/>
      </w:rPr>
    </w:lvl>
    <w:lvl w:ilvl="6" w:tplc="8F808426">
      <w:start w:val="1"/>
      <w:numFmt w:val="bullet"/>
      <w:lvlText w:val=""/>
      <w:lvlJc w:val="left"/>
      <w:pPr>
        <w:ind w:left="5040" w:hanging="360"/>
      </w:pPr>
      <w:rPr>
        <w:rFonts w:ascii="Symbol" w:hAnsi="Symbol" w:hint="default"/>
      </w:rPr>
    </w:lvl>
    <w:lvl w:ilvl="7" w:tplc="3402B3F8">
      <w:start w:val="1"/>
      <w:numFmt w:val="bullet"/>
      <w:lvlText w:val="o"/>
      <w:lvlJc w:val="left"/>
      <w:pPr>
        <w:ind w:left="5760" w:hanging="360"/>
      </w:pPr>
      <w:rPr>
        <w:rFonts w:ascii="Courier New" w:hAnsi="Courier New" w:hint="default"/>
      </w:rPr>
    </w:lvl>
    <w:lvl w:ilvl="8" w:tplc="D6AE70F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A7"/>
    <w:rsid w:val="00026BA7"/>
    <w:rsid w:val="000352E2"/>
    <w:rsid w:val="00056D26"/>
    <w:rsid w:val="000B6340"/>
    <w:rsid w:val="000C20B7"/>
    <w:rsid w:val="000F66CB"/>
    <w:rsid w:val="00101EE8"/>
    <w:rsid w:val="001257A5"/>
    <w:rsid w:val="001A1A76"/>
    <w:rsid w:val="001C0CC5"/>
    <w:rsid w:val="001E405F"/>
    <w:rsid w:val="001E7ECD"/>
    <w:rsid w:val="0027317C"/>
    <w:rsid w:val="002913A1"/>
    <w:rsid w:val="00294B84"/>
    <w:rsid w:val="002D0388"/>
    <w:rsid w:val="002F1DE4"/>
    <w:rsid w:val="003078E7"/>
    <w:rsid w:val="00323A94"/>
    <w:rsid w:val="00371D5E"/>
    <w:rsid w:val="00383204"/>
    <w:rsid w:val="00402B2A"/>
    <w:rsid w:val="0045758F"/>
    <w:rsid w:val="004D370B"/>
    <w:rsid w:val="00556BF9"/>
    <w:rsid w:val="005B0C04"/>
    <w:rsid w:val="00631C2D"/>
    <w:rsid w:val="00633FF4"/>
    <w:rsid w:val="00650B4F"/>
    <w:rsid w:val="006F4777"/>
    <w:rsid w:val="0072666E"/>
    <w:rsid w:val="007B1474"/>
    <w:rsid w:val="007C770C"/>
    <w:rsid w:val="0084184E"/>
    <w:rsid w:val="0090164F"/>
    <w:rsid w:val="00952C77"/>
    <w:rsid w:val="009D597C"/>
    <w:rsid w:val="009F738A"/>
    <w:rsid w:val="00A046E9"/>
    <w:rsid w:val="00A34DA8"/>
    <w:rsid w:val="00A474D3"/>
    <w:rsid w:val="00A64A76"/>
    <w:rsid w:val="00A72A3A"/>
    <w:rsid w:val="00A92E94"/>
    <w:rsid w:val="00A97FDD"/>
    <w:rsid w:val="00AB791F"/>
    <w:rsid w:val="00AC7EC0"/>
    <w:rsid w:val="00AF3826"/>
    <w:rsid w:val="00B32B1A"/>
    <w:rsid w:val="00B354BD"/>
    <w:rsid w:val="00BA4AA1"/>
    <w:rsid w:val="00BB0CED"/>
    <w:rsid w:val="00BD3C3F"/>
    <w:rsid w:val="00C22379"/>
    <w:rsid w:val="00C24453"/>
    <w:rsid w:val="00C62D50"/>
    <w:rsid w:val="00C8660B"/>
    <w:rsid w:val="00D17063"/>
    <w:rsid w:val="00D728FA"/>
    <w:rsid w:val="00D76797"/>
    <w:rsid w:val="00DA3B53"/>
    <w:rsid w:val="00DD4DED"/>
    <w:rsid w:val="00E01E70"/>
    <w:rsid w:val="00E05A35"/>
    <w:rsid w:val="00E1771B"/>
    <w:rsid w:val="00E25FEC"/>
    <w:rsid w:val="00E82F1E"/>
    <w:rsid w:val="00E91C5F"/>
    <w:rsid w:val="00F45327"/>
    <w:rsid w:val="00F7704A"/>
    <w:rsid w:val="00F83425"/>
    <w:rsid w:val="00F92FF5"/>
    <w:rsid w:val="00FE6AC4"/>
    <w:rsid w:val="0C3F49AC"/>
    <w:rsid w:val="2CD2D7D5"/>
    <w:rsid w:val="3102FF84"/>
    <w:rsid w:val="441263C1"/>
    <w:rsid w:val="5E68B477"/>
    <w:rsid w:val="7F52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21E0"/>
  <w15:docId w15:val="{05CF97EA-A9FB-494E-A9A7-3314ADAA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05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35"/>
    <w:rPr>
      <w:rFonts w:ascii="Segoe UI" w:hAnsi="Segoe UI" w:cs="Segoe UI"/>
      <w:sz w:val="18"/>
      <w:szCs w:val="18"/>
    </w:rPr>
  </w:style>
  <w:style w:type="character" w:styleId="CommentReference">
    <w:name w:val="annotation reference"/>
    <w:basedOn w:val="DefaultParagraphFont"/>
    <w:uiPriority w:val="99"/>
    <w:semiHidden/>
    <w:unhideWhenUsed/>
    <w:rsid w:val="00BD3C3F"/>
    <w:rPr>
      <w:sz w:val="16"/>
      <w:szCs w:val="16"/>
    </w:rPr>
  </w:style>
  <w:style w:type="paragraph" w:styleId="CommentText">
    <w:name w:val="annotation text"/>
    <w:basedOn w:val="Normal"/>
    <w:link w:val="CommentTextChar"/>
    <w:uiPriority w:val="99"/>
    <w:semiHidden/>
    <w:unhideWhenUsed/>
    <w:rsid w:val="00BD3C3F"/>
    <w:pPr>
      <w:spacing w:line="240" w:lineRule="auto"/>
    </w:pPr>
    <w:rPr>
      <w:sz w:val="20"/>
      <w:szCs w:val="20"/>
    </w:rPr>
  </w:style>
  <w:style w:type="character" w:customStyle="1" w:styleId="CommentTextChar">
    <w:name w:val="Comment Text Char"/>
    <w:basedOn w:val="DefaultParagraphFont"/>
    <w:link w:val="CommentText"/>
    <w:uiPriority w:val="99"/>
    <w:semiHidden/>
    <w:rsid w:val="00BD3C3F"/>
    <w:rPr>
      <w:sz w:val="20"/>
      <w:szCs w:val="20"/>
    </w:rPr>
  </w:style>
  <w:style w:type="paragraph" w:styleId="CommentSubject">
    <w:name w:val="annotation subject"/>
    <w:basedOn w:val="CommentText"/>
    <w:next w:val="CommentText"/>
    <w:link w:val="CommentSubjectChar"/>
    <w:uiPriority w:val="99"/>
    <w:semiHidden/>
    <w:unhideWhenUsed/>
    <w:rsid w:val="00BD3C3F"/>
    <w:rPr>
      <w:b/>
      <w:bCs/>
    </w:rPr>
  </w:style>
  <w:style w:type="character" w:customStyle="1" w:styleId="CommentSubjectChar">
    <w:name w:val="Comment Subject Char"/>
    <w:basedOn w:val="CommentTextChar"/>
    <w:link w:val="CommentSubject"/>
    <w:uiPriority w:val="99"/>
    <w:semiHidden/>
    <w:rsid w:val="00BD3C3F"/>
    <w:rPr>
      <w:b/>
      <w:bCs/>
      <w:sz w:val="20"/>
      <w:szCs w:val="20"/>
    </w:rPr>
  </w:style>
  <w:style w:type="paragraph" w:styleId="Header">
    <w:name w:val="header"/>
    <w:basedOn w:val="Normal"/>
    <w:link w:val="HeaderChar"/>
    <w:uiPriority w:val="99"/>
    <w:unhideWhenUsed/>
    <w:rsid w:val="0037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5E"/>
  </w:style>
  <w:style w:type="paragraph" w:styleId="Footer">
    <w:name w:val="footer"/>
    <w:basedOn w:val="Normal"/>
    <w:link w:val="FooterChar"/>
    <w:uiPriority w:val="99"/>
    <w:unhideWhenUsed/>
    <w:rsid w:val="0037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7313">
      <w:bodyDiv w:val="1"/>
      <w:marLeft w:val="0"/>
      <w:marRight w:val="0"/>
      <w:marTop w:val="0"/>
      <w:marBottom w:val="0"/>
      <w:divBdr>
        <w:top w:val="none" w:sz="0" w:space="0" w:color="auto"/>
        <w:left w:val="none" w:sz="0" w:space="0" w:color="auto"/>
        <w:bottom w:val="none" w:sz="0" w:space="0" w:color="auto"/>
        <w:right w:val="none" w:sz="0" w:space="0" w:color="auto"/>
      </w:divBdr>
    </w:div>
    <w:div w:id="880091153">
      <w:bodyDiv w:val="1"/>
      <w:marLeft w:val="0"/>
      <w:marRight w:val="0"/>
      <w:marTop w:val="0"/>
      <w:marBottom w:val="0"/>
      <w:divBdr>
        <w:top w:val="none" w:sz="0" w:space="0" w:color="auto"/>
        <w:left w:val="none" w:sz="0" w:space="0" w:color="auto"/>
        <w:bottom w:val="none" w:sz="0" w:space="0" w:color="auto"/>
        <w:right w:val="none" w:sz="0" w:space="0" w:color="auto"/>
      </w:divBdr>
    </w:div>
    <w:div w:id="954559568">
      <w:bodyDiv w:val="1"/>
      <w:marLeft w:val="0"/>
      <w:marRight w:val="0"/>
      <w:marTop w:val="0"/>
      <w:marBottom w:val="0"/>
      <w:divBdr>
        <w:top w:val="none" w:sz="0" w:space="0" w:color="auto"/>
        <w:left w:val="none" w:sz="0" w:space="0" w:color="auto"/>
        <w:bottom w:val="none" w:sz="0" w:space="0" w:color="auto"/>
        <w:right w:val="none" w:sz="0" w:space="0" w:color="auto"/>
      </w:divBdr>
    </w:div>
    <w:div w:id="954866585">
      <w:bodyDiv w:val="1"/>
      <w:marLeft w:val="0"/>
      <w:marRight w:val="0"/>
      <w:marTop w:val="0"/>
      <w:marBottom w:val="0"/>
      <w:divBdr>
        <w:top w:val="none" w:sz="0" w:space="0" w:color="auto"/>
        <w:left w:val="none" w:sz="0" w:space="0" w:color="auto"/>
        <w:bottom w:val="none" w:sz="0" w:space="0" w:color="auto"/>
        <w:right w:val="none" w:sz="0" w:space="0" w:color="auto"/>
      </w:divBdr>
    </w:div>
    <w:div w:id="1168864989">
      <w:bodyDiv w:val="1"/>
      <w:marLeft w:val="0"/>
      <w:marRight w:val="0"/>
      <w:marTop w:val="0"/>
      <w:marBottom w:val="0"/>
      <w:divBdr>
        <w:top w:val="none" w:sz="0" w:space="0" w:color="auto"/>
        <w:left w:val="none" w:sz="0" w:space="0" w:color="auto"/>
        <w:bottom w:val="none" w:sz="0" w:space="0" w:color="auto"/>
        <w:right w:val="none" w:sz="0" w:space="0" w:color="auto"/>
      </w:divBdr>
    </w:div>
    <w:div w:id="1641767475">
      <w:bodyDiv w:val="1"/>
      <w:marLeft w:val="0"/>
      <w:marRight w:val="0"/>
      <w:marTop w:val="0"/>
      <w:marBottom w:val="0"/>
      <w:divBdr>
        <w:top w:val="none" w:sz="0" w:space="0" w:color="auto"/>
        <w:left w:val="none" w:sz="0" w:space="0" w:color="auto"/>
        <w:bottom w:val="none" w:sz="0" w:space="0" w:color="auto"/>
        <w:right w:val="none" w:sz="0" w:space="0" w:color="auto"/>
      </w:divBdr>
    </w:div>
    <w:div w:id="16477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C001BA74D27748853988CE5C1E43CE" ma:contentTypeVersion="2" ma:contentTypeDescription="Create a new document." ma:contentTypeScope="" ma:versionID="aadbefb3d8077288dc6ecf57977ddd55">
  <xsd:schema xmlns:xsd="http://www.w3.org/2001/XMLSchema" xmlns:xs="http://www.w3.org/2001/XMLSchema" xmlns:p="http://schemas.microsoft.com/office/2006/metadata/properties" xmlns:ns2="19dbaa3b-cb42-411d-b7ed-92ceb1fdb7f3" targetNamespace="http://schemas.microsoft.com/office/2006/metadata/properties" ma:root="true" ma:fieldsID="1295476510d85f8c3afeb5c87ded9cc3" ns2:_="">
    <xsd:import namespace="19dbaa3b-cb42-411d-b7ed-92ceb1fdb7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baa3b-cb42-411d-b7ed-92ceb1fdb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5B96F-531D-415E-900F-565EC95E688A}">
  <ds:schemaRefs>
    <ds:schemaRef ds:uri="http://schemas.microsoft.com/sharepoint/v3/contenttype/forms"/>
  </ds:schemaRefs>
</ds:datastoreItem>
</file>

<file path=customXml/itemProps2.xml><?xml version="1.0" encoding="utf-8"?>
<ds:datastoreItem xmlns:ds="http://schemas.openxmlformats.org/officeDocument/2006/customXml" ds:itemID="{84E05068-6CB4-46CC-81BC-BE9040B0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baa3b-cb42-411d-b7ed-92ceb1fd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FF031-320F-4A79-A8C4-B9BEEA8ABFA5}">
  <ds:schemaRefs>
    <ds:schemaRef ds:uri="http://purl.org/dc/terms/"/>
    <ds:schemaRef ds:uri="http://purl.org/dc/dcmitype/"/>
    <ds:schemaRef ds:uri="http://schemas.microsoft.com/office/2006/metadata/properties"/>
    <ds:schemaRef ds:uri="http://schemas.microsoft.com/office/2006/documentManagement/types"/>
    <ds:schemaRef ds:uri="19dbaa3b-cb42-411d-b7ed-92ceb1fdb7f3"/>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5797B53E</Template>
  <TotalTime>1</TotalTime>
  <Pages>15</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TULLAR Mish</dc:creator>
  <cp:lastModifiedBy>MITCHELL John</cp:lastModifiedBy>
  <cp:revision>3</cp:revision>
  <dcterms:created xsi:type="dcterms:W3CDTF">2020-05-19T15:59:00Z</dcterms:created>
  <dcterms:modified xsi:type="dcterms:W3CDTF">2020-05-22T13:55:00Z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0x010100C0C001BA74D27748853988CE5C1E43CE</vt:lpwstr>
  </property>
</Properties>
</file>